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关于印发《沈阳市特种设备领域隐患排查</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治理专项行动方案》的通知</w:t>
      </w:r>
    </w:p>
    <w:p>
      <w:pPr>
        <w:jc w:val="center"/>
        <w:rPr>
          <w:rFonts w:ascii="Times New Roman" w:hAnsi="Times New Roman" w:eastAsia="方正小标宋简体" w:cs="Times New Roman"/>
          <w:sz w:val="44"/>
          <w:szCs w:val="44"/>
        </w:rPr>
      </w:pPr>
    </w:p>
    <w:p>
      <w:pPr>
        <w:rPr>
          <w:rFonts w:ascii="仿宋" w:hAnsi="仿宋" w:eastAsia="仿宋" w:cs="Times New Roman"/>
          <w:sz w:val="32"/>
          <w:szCs w:val="32"/>
        </w:rPr>
      </w:pPr>
      <w:r>
        <w:rPr>
          <w:rFonts w:hint="eastAsia" w:ascii="仿宋" w:hAnsi="仿宋" w:eastAsia="仿宋" w:cs="Times New Roman"/>
          <w:sz w:val="32"/>
          <w:szCs w:val="32"/>
        </w:rPr>
        <w:t>各区、县（市）市场监督管理局：</w:t>
      </w:r>
    </w:p>
    <w:p>
      <w:pPr>
        <w:pStyle w:val="2"/>
        <w:ind w:firstLine="640" w:firstLineChars="200"/>
        <w:rPr>
          <w:rFonts w:ascii="仿宋" w:hAnsi="仿宋" w:eastAsia="仿宋"/>
        </w:rPr>
      </w:pPr>
      <w:r>
        <w:rPr>
          <w:rFonts w:hint="eastAsia" w:ascii="仿宋" w:hAnsi="仿宋" w:eastAsia="仿宋"/>
        </w:rPr>
        <w:t>现将《沈阳市特种设备领域隐患排查治理专项行动方案》印发给你们，请结合辖区实际，认真贯彻执行。</w:t>
      </w:r>
    </w:p>
    <w:p>
      <w:pPr>
        <w:rPr>
          <w:sz w:val="32"/>
          <w:szCs w:val="32"/>
        </w:rPr>
      </w:pPr>
    </w:p>
    <w:p>
      <w:pPr>
        <w:pStyle w:val="2"/>
      </w:pPr>
    </w:p>
    <w:p>
      <w:pPr>
        <w:rPr>
          <w:sz w:val="32"/>
          <w:szCs w:val="32"/>
        </w:rPr>
      </w:pPr>
    </w:p>
    <w:p>
      <w:pPr>
        <w:pStyle w:val="2"/>
        <w:ind w:firstLine="4960" w:firstLineChars="1550"/>
        <w:jc w:val="both"/>
        <w:rPr>
          <w:rFonts w:ascii="Times New Roman" w:hAnsi="Times New Roman" w:eastAsia="仿宋"/>
        </w:rPr>
      </w:pPr>
      <w:r>
        <w:rPr>
          <w:rFonts w:ascii="Times New Roman" w:hAnsi="Times New Roman" w:eastAsia="仿宋"/>
        </w:rPr>
        <w:t>沈阳市市场监督管理局</w:t>
      </w:r>
    </w:p>
    <w:p>
      <w:pPr>
        <w:ind w:right="320" w:firstLine="5385" w:firstLineChars="1683"/>
        <w:jc w:val="both"/>
        <w:rPr>
          <w:rFonts w:ascii="Times New Roman" w:hAnsi="Times New Roman" w:eastAsia="仿宋" w:cs="Times New Roman"/>
          <w:sz w:val="32"/>
          <w:szCs w:val="32"/>
        </w:rPr>
      </w:pPr>
      <w:r>
        <w:rPr>
          <w:rFonts w:ascii="Times New Roman" w:hAnsi="Times New Roman" w:eastAsia="仿宋" w:cs="Times New Roman"/>
          <w:sz w:val="32"/>
          <w:szCs w:val="32"/>
        </w:rPr>
        <w:t>2021年10月2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日</w:t>
      </w:r>
    </w:p>
    <w:p>
      <w:pPr>
        <w:jc w:val="center"/>
        <w:rPr>
          <w:rFonts w:ascii="仿宋" w:hAnsi="仿宋" w:eastAsia="仿宋"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沈阳市特种设备领域隐患排查治理</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专项行动方案</w:t>
      </w:r>
    </w:p>
    <w:p>
      <w:pPr>
        <w:rPr>
          <w:rFonts w:ascii="Times New Roman" w:hAnsi="Times New Roman" w:eastAsia="方正小标宋简体" w:cs="Times New Roman"/>
          <w:sz w:val="32"/>
          <w:szCs w:val="32"/>
        </w:rPr>
      </w:pPr>
    </w:p>
    <w:p>
      <w:pPr>
        <w:pStyle w:val="2"/>
        <w:ind w:firstLine="640" w:firstLineChars="200"/>
        <w:jc w:val="both"/>
        <w:rPr>
          <w:rFonts w:ascii="仿宋" w:hAnsi="仿宋" w:eastAsia="仿宋"/>
        </w:rPr>
      </w:pPr>
      <w:r>
        <w:rPr>
          <w:rFonts w:hint="eastAsia" w:ascii="仿宋" w:hAnsi="仿宋" w:eastAsia="仿宋"/>
        </w:rPr>
        <w:t>为贯彻落实《沈阳市安全生产隐患排查治理专项行动方案》的工作要求，坚持举一反三，进一步强化特种设备安全监管工作，特制订本方案。</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right="318"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坚持以习近平新时代中国特色社会主义思想为指导，深入贯彻落实习近平总书记关于安全生产重要指示批示精神，强化风险意识和责任担当，树牢安全意识和底线思维，常怀民本之心、常思隐患之痛、常悬执法之剑、常筑安全之基，切实增强特种设备安全监管工作的责任感和紧迫感。持续推进特种设备安全专项整治三年行动，进一步压实企业特种设备安全主体责任，落实市场监管部门监管责任和属地政府领导责任，确保全市特种设备安全形势持续稳定。</w:t>
      </w:r>
    </w:p>
    <w:p>
      <w:pPr>
        <w:ind w:right="318"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ind w:right="318"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全面排查整治</w:t>
      </w:r>
      <w:r>
        <w:rPr>
          <w:rFonts w:ascii="Times New Roman" w:hAnsi="Times New Roman" w:eastAsia="仿宋" w:cs="Times New Roman"/>
          <w:sz w:val="32"/>
          <w:szCs w:val="32"/>
        </w:rPr>
        <w:t>，进一步将特种设备安全隐患专项整治工作向纵深推进，有效防范和化解特种设备重大安全风险，进一步压实企业特种设备安全生产主体责任，切实解决隐患排查不全面、不深入、不系统，治理不彻底及屡查屡犯的问题，确保特种设备安全运行，坚决防止各类特种设备重特大事故发生。</w:t>
      </w:r>
    </w:p>
    <w:p>
      <w:pPr>
        <w:ind w:right="318"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三、组织领导</w:t>
      </w:r>
    </w:p>
    <w:p>
      <w:pPr>
        <w:ind w:right="318"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为明确责任分工，压紧责任链，加强组织领导，采取有力措施，推动特种设备领域隐患排查治理工作高效开展。由市市场监管局特种设备安全专项整治三年行动工作领导小组统一组织实施、调度通报、督查督办。</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、工作措施</w:t>
      </w:r>
    </w:p>
    <w:p>
      <w:pPr>
        <w:pStyle w:val="2"/>
        <w:ind w:firstLine="640" w:firstLineChars="200"/>
        <w:jc w:val="both"/>
        <w:rPr>
          <w:rFonts w:ascii="楷体" w:hAnsi="楷体" w:eastAsia="楷体"/>
        </w:rPr>
      </w:pPr>
      <w:r>
        <w:rPr>
          <w:rFonts w:hint="eastAsia" w:ascii="楷体" w:hAnsi="楷体" w:eastAsia="楷体"/>
        </w:rPr>
        <w:t>（一）落实企业特种设备安全主体责任</w:t>
      </w:r>
    </w:p>
    <w:p>
      <w:pPr>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1</w:t>
      </w:r>
      <w:r>
        <w:rPr>
          <w:rFonts w:ascii="Times New Roman" w:hAnsi="Times New Roman" w:eastAsia="仿宋" w:cs="Times New Roman"/>
          <w:b/>
          <w:sz w:val="32"/>
          <w:szCs w:val="32"/>
        </w:rPr>
        <w:t>. 签订安全责任状、承诺书和确认书，严格落实安全生产“四个清单”制度。</w:t>
      </w:r>
      <w:r>
        <w:rPr>
          <w:rFonts w:ascii="Times New Roman" w:hAnsi="Times New Roman" w:eastAsia="仿宋" w:cs="Times New Roman"/>
          <w:sz w:val="32"/>
          <w:szCs w:val="32"/>
        </w:rPr>
        <w:t>各特种设备生产、使用单位应当落实企业特种设备安全主体责任，</w:t>
      </w:r>
      <w:r>
        <w:rPr>
          <w:rFonts w:hint="eastAsia" w:ascii="Times New Roman" w:hAnsi="Times New Roman" w:eastAsia="仿宋" w:cs="Times New Roman"/>
          <w:sz w:val="32"/>
          <w:szCs w:val="32"/>
        </w:rPr>
        <w:t>企业法定代表人、安全管理负责人、安全管理人员、特种设备作业人员均需签署主体责任落实确认书（附件1、2、3、4）。企业法定代表人作为安全生产第一责任人，还要求签署特种设备安全承诺书（附件5）。</w:t>
      </w:r>
      <w:r>
        <w:rPr>
          <w:rFonts w:ascii="Times New Roman" w:hAnsi="Times New Roman" w:eastAsia="仿宋" w:cs="Times New Roman"/>
          <w:sz w:val="32"/>
          <w:szCs w:val="32"/>
        </w:rPr>
        <w:t>并亲自组织部署，逐项落实管理制度，建立健全企业特种设备安全</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四个清单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制度，逐一完善企业特种设备隐患排查清单、整改措施清单、日常安全检查清单、日常维护保养清单。</w:t>
      </w:r>
    </w:p>
    <w:p>
      <w:pPr>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2</w:t>
      </w:r>
      <w:r>
        <w:rPr>
          <w:rFonts w:ascii="Times New Roman" w:hAnsi="Times New Roman" w:eastAsia="仿宋" w:cs="Times New Roman"/>
          <w:b/>
          <w:sz w:val="32"/>
          <w:szCs w:val="32"/>
        </w:rPr>
        <w:t xml:space="preserve">. </w:t>
      </w:r>
      <w:r>
        <w:rPr>
          <w:rFonts w:hint="eastAsia" w:ascii="Times New Roman" w:hAnsi="Times New Roman" w:eastAsia="仿宋" w:cs="Times New Roman"/>
          <w:b/>
          <w:sz w:val="32"/>
          <w:szCs w:val="32"/>
          <w:lang w:eastAsia="zh-CN"/>
        </w:rPr>
        <w:t>坚持</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zh-CN"/>
        </w:rPr>
        <w:t>不持证不上岗、</w:t>
      </w:r>
      <w:r>
        <w:rPr>
          <w:rFonts w:ascii="Times New Roman" w:hAnsi="Times New Roman" w:eastAsia="仿宋" w:cs="Times New Roman"/>
          <w:b/>
          <w:sz w:val="32"/>
          <w:szCs w:val="32"/>
          <w:lang w:val="zh-CN"/>
        </w:rPr>
        <w:t>不培训不上岗</w:t>
      </w:r>
      <w:r>
        <w:rPr>
          <w:rFonts w:hint="eastAsia" w:ascii="Times New Roman" w:hAnsi="Times New Roman" w:eastAsia="仿宋" w:cs="Times New Roman"/>
          <w:b/>
          <w:sz w:val="32"/>
          <w:szCs w:val="32"/>
          <w:lang w:val="zh-CN"/>
        </w:rPr>
        <w:t>、</w:t>
      </w:r>
      <w:r>
        <w:rPr>
          <w:rFonts w:ascii="Times New Roman" w:hAnsi="Times New Roman" w:eastAsia="仿宋" w:cs="Times New Roman"/>
          <w:b/>
          <w:sz w:val="32"/>
          <w:szCs w:val="32"/>
          <w:lang w:val="zh-CN"/>
        </w:rPr>
        <w:t>不演练不上岗</w:t>
      </w:r>
      <w:r>
        <w:rPr>
          <w:rFonts w:ascii="Times New Roman" w:hAnsi="Times New Roman" w:eastAsia="仿宋" w:cs="Times New Roman"/>
          <w:b/>
          <w:sz w:val="32"/>
          <w:szCs w:val="32"/>
        </w:rPr>
        <w:t>”</w:t>
      </w:r>
      <w:r>
        <w:rPr>
          <w:rFonts w:ascii="Times New Roman" w:hAnsi="Times New Roman" w:eastAsia="仿宋" w:cs="Times New Roman"/>
          <w:b/>
          <w:sz w:val="32"/>
          <w:szCs w:val="32"/>
          <w:lang w:val="zh-CN"/>
        </w:rPr>
        <w:t>，</w:t>
      </w:r>
      <w:r>
        <w:rPr>
          <w:rFonts w:ascii="Times New Roman" w:hAnsi="Times New Roman" w:eastAsia="仿宋" w:cs="Times New Roman"/>
          <w:b/>
          <w:sz w:val="32"/>
          <w:szCs w:val="32"/>
        </w:rPr>
        <w:t>严格落实隐患排查签名背书制度。</w:t>
      </w:r>
      <w:r>
        <w:rPr>
          <w:rFonts w:ascii="Times New Roman" w:hAnsi="Times New Roman" w:eastAsia="仿宋" w:cs="Times New Roman"/>
          <w:sz w:val="32"/>
          <w:szCs w:val="32"/>
        </w:rPr>
        <w:t>各特种设备生产、使用单位应当明确本单位特种设备安全管理员，并由设备安全管理人员组织对本单位特种设备逐台逐项开展隐患自查</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一般隐患由操作人员和企业安全管理人员签字确认。企业法定代表人作为安全生产第一责任人，要对重大安全隐患自查整改情况审核并确认签字。同时，要组织对本单位特种设备相关人员进行培训、考试，特种设备安全管理人员</w:t>
      </w:r>
      <w:r>
        <w:rPr>
          <w:rFonts w:hint="eastAsia" w:ascii="Times New Roman" w:hAnsi="Times New Roman" w:eastAsia="仿宋" w:cs="Times New Roman"/>
          <w:sz w:val="32"/>
          <w:szCs w:val="32"/>
        </w:rPr>
        <w:t>、</w:t>
      </w:r>
      <w:r>
        <w:rPr>
          <w:rFonts w:ascii="Times New Roman" w:hAnsi="Times New Roman" w:eastAsia="仿宋" w:cs="Times New Roman"/>
          <w:sz w:val="32"/>
          <w:szCs w:val="32"/>
        </w:rPr>
        <w:t>操作人员必须持证上岗</w:t>
      </w:r>
      <w:r>
        <w:rPr>
          <w:rFonts w:hint="eastAsia" w:ascii="Times New Roman" w:hAnsi="Times New Roman" w:eastAsia="仿宋" w:cs="Times New Roman"/>
          <w:sz w:val="32"/>
          <w:szCs w:val="32"/>
        </w:rPr>
        <w:t>，</w:t>
      </w:r>
      <w:r>
        <w:rPr>
          <w:rFonts w:ascii="Times New Roman" w:hAnsi="Times New Roman" w:eastAsia="仿宋" w:cs="Times New Roman"/>
          <w:sz w:val="32"/>
          <w:szCs w:val="32"/>
        </w:rPr>
        <w:t>考试不合格的人员一律不得上岗。</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3. </w:t>
      </w:r>
      <w:r>
        <w:rPr>
          <w:rFonts w:hint="eastAsia" w:ascii="Times New Roman" w:hAnsi="Times New Roman" w:eastAsia="仿宋" w:cs="Times New Roman"/>
          <w:b/>
          <w:sz w:val="32"/>
          <w:szCs w:val="32"/>
        </w:rPr>
        <w:t>加强</w:t>
      </w:r>
      <w:r>
        <w:rPr>
          <w:rFonts w:ascii="Times New Roman" w:hAnsi="Times New Roman" w:eastAsia="仿宋" w:cs="Times New Roman"/>
          <w:b/>
          <w:sz w:val="32"/>
          <w:szCs w:val="32"/>
        </w:rPr>
        <w:t>企业应急演练，强化应对突发事件能力</w:t>
      </w:r>
      <w:r>
        <w:rPr>
          <w:rFonts w:hint="eastAsia" w:ascii="Times New Roman" w:hAnsi="Times New Roman" w:eastAsia="仿宋" w:cs="Times New Roman"/>
          <w:b/>
          <w:sz w:val="32"/>
          <w:szCs w:val="32"/>
        </w:rPr>
        <w:t>，</w:t>
      </w:r>
      <w:r>
        <w:rPr>
          <w:rFonts w:ascii="Times New Roman" w:hAnsi="Times New Roman" w:eastAsia="仿宋" w:cs="Times New Roman"/>
          <w:b/>
          <w:sz w:val="32"/>
          <w:szCs w:val="32"/>
        </w:rPr>
        <w:t>妥善应对突发情况。</w:t>
      </w:r>
      <w:r>
        <w:rPr>
          <w:rFonts w:ascii="Times New Roman" w:hAnsi="Times New Roman" w:eastAsia="仿宋" w:cs="Times New Roman"/>
          <w:sz w:val="32"/>
          <w:szCs w:val="32"/>
        </w:rPr>
        <w:t>各特种设备生产、使用单位应当进一步完善特种设备突发事件应急预案，组织开展应急演练。大型游乐设施、客运索道、电梯使用单位要在方案中针对可能出现的困人突发情况做好相应的安抚工作，安抚的形式和内容要提前在应急预案中完善，并有针对性地做好演练，最大程度避免负面舆情的发生。</w:t>
      </w:r>
      <w:r>
        <w:rPr>
          <w:rFonts w:hint="eastAsia" w:ascii="Times New Roman" w:hAnsi="Times New Roman" w:eastAsia="仿宋" w:cs="Times New Roman"/>
          <w:sz w:val="32"/>
          <w:szCs w:val="32"/>
        </w:rPr>
        <w:t>大型游乐设施、客运索道</w:t>
      </w:r>
      <w:r>
        <w:rPr>
          <w:rFonts w:ascii="Times New Roman" w:hAnsi="Times New Roman" w:eastAsia="仿宋" w:cs="Times New Roman"/>
          <w:sz w:val="32"/>
          <w:szCs w:val="32"/>
        </w:rPr>
        <w:t>应急预案不完善</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不按要求开展应急演练的</w:t>
      </w:r>
      <w:r>
        <w:rPr>
          <w:rFonts w:hint="eastAsia" w:ascii="Times New Roman" w:hAnsi="Times New Roman" w:eastAsia="仿宋" w:cs="Times New Roman"/>
          <w:sz w:val="32"/>
          <w:szCs w:val="32"/>
        </w:rPr>
        <w:t>一律不得使用。</w:t>
      </w:r>
    </w:p>
    <w:p>
      <w:pPr>
        <w:pStyle w:val="2"/>
        <w:ind w:firstLine="640" w:firstLineChars="200"/>
        <w:rPr>
          <w:rFonts w:ascii="楷体" w:hAnsi="楷体" w:eastAsia="楷体"/>
        </w:rPr>
      </w:pPr>
      <w:r>
        <w:rPr>
          <w:rFonts w:hint="eastAsia" w:ascii="楷体" w:hAnsi="楷体" w:eastAsia="楷体"/>
        </w:rPr>
        <w:t>（二）强化特种设备安全监管</w:t>
      </w:r>
    </w:p>
    <w:p>
      <w:pPr>
        <w:ind w:firstLine="643" w:firstLineChars="200"/>
        <w:rPr>
          <w:rFonts w:ascii="Times New Roman" w:hAnsi="Times New Roman" w:eastAsia="仿宋" w:cs="Times New Roman"/>
          <w:sz w:val="32"/>
          <w:szCs w:val="32"/>
        </w:rPr>
      </w:pPr>
      <w:r>
        <w:rPr>
          <w:rFonts w:hint="eastAsia" w:ascii="Times New Roman" w:hAnsi="Times New Roman" w:eastAsia="楷体" w:cs="Times New Roman"/>
          <w:b/>
          <w:sz w:val="32"/>
          <w:szCs w:val="32"/>
        </w:rPr>
        <w:t>1</w:t>
      </w:r>
      <w:r>
        <w:rPr>
          <w:rFonts w:ascii="Times New Roman" w:hAnsi="Times New Roman" w:eastAsia="仿宋" w:cs="Times New Roman"/>
          <w:b/>
          <w:sz w:val="32"/>
          <w:szCs w:val="32"/>
        </w:rPr>
        <w:t>. 强化特种设备安全责任</w:t>
      </w:r>
      <w:r>
        <w:rPr>
          <w:rFonts w:hint="eastAsia" w:ascii="Times New Roman" w:hAnsi="Times New Roman" w:eastAsia="仿宋" w:cs="Times New Roman"/>
          <w:b/>
          <w:sz w:val="32"/>
          <w:szCs w:val="32"/>
        </w:rPr>
        <w:t>。</w:t>
      </w:r>
      <w:r>
        <w:rPr>
          <w:rFonts w:ascii="Times New Roman" w:hAnsi="Times New Roman" w:eastAsia="仿宋" w:cs="Times New Roman"/>
          <w:sz w:val="32"/>
          <w:szCs w:val="32"/>
        </w:rPr>
        <w:t>各区、县（市）市场监管局要按照</w:t>
      </w:r>
      <w:r>
        <w:rPr>
          <w:rFonts w:hint="eastAsia" w:ascii="Times New Roman" w:hAnsi="Times New Roman" w:eastAsia="仿宋" w:cs="Times New Roman"/>
          <w:sz w:val="32"/>
          <w:szCs w:val="32"/>
        </w:rPr>
        <w:t>“属地管理”“党政同责、一岗双责”和“三管三必须”要求，建立健全风险分级管控和隐患排查治理双重预防工作机制。</w:t>
      </w:r>
      <w:r>
        <w:rPr>
          <w:rFonts w:ascii="Times New Roman" w:hAnsi="Times New Roman" w:eastAsia="仿宋" w:cs="Times New Roman"/>
          <w:sz w:val="32"/>
          <w:szCs w:val="32"/>
        </w:rPr>
        <w:t>对辖区内特种设备使用单位开展安全隐患起底式排查</w:t>
      </w:r>
      <w:r>
        <w:rPr>
          <w:rFonts w:hint="eastAsia" w:ascii="Times New Roman" w:hAnsi="Times New Roman" w:eastAsia="仿宋" w:cs="Times New Roman"/>
          <w:sz w:val="32"/>
          <w:szCs w:val="32"/>
        </w:rPr>
        <w:t>。</w:t>
      </w:r>
    </w:p>
    <w:p>
      <w:pPr>
        <w:pStyle w:val="2"/>
        <w:ind w:firstLine="739" w:firstLineChars="230"/>
        <w:jc w:val="both"/>
        <w:rPr>
          <w:rFonts w:ascii="Times New Roman" w:hAnsi="Times New Roman" w:eastAsia="仿宋"/>
        </w:rPr>
      </w:pPr>
      <w:r>
        <w:rPr>
          <w:rFonts w:hint="eastAsia" w:ascii="Times New Roman" w:hAnsi="Times New Roman" w:eastAsia="仿宋"/>
          <w:b/>
        </w:rPr>
        <w:t>2</w:t>
      </w:r>
      <w:r>
        <w:rPr>
          <w:rFonts w:ascii="Times New Roman" w:hAnsi="Times New Roman" w:eastAsia="仿宋"/>
          <w:b/>
        </w:rPr>
        <w:t xml:space="preserve">. </w:t>
      </w:r>
      <w:r>
        <w:rPr>
          <w:rFonts w:hint="eastAsia" w:ascii="Times New Roman" w:hAnsi="Times New Roman" w:eastAsia="仿宋"/>
          <w:b/>
        </w:rPr>
        <w:t>强化</w:t>
      </w:r>
      <w:r>
        <w:rPr>
          <w:rFonts w:ascii="Times New Roman" w:hAnsi="Times New Roman" w:eastAsia="仿宋"/>
          <w:b/>
        </w:rPr>
        <w:t>特种设备</w:t>
      </w:r>
      <w:r>
        <w:rPr>
          <w:rFonts w:hint="eastAsia" w:ascii="Times New Roman" w:hAnsi="Times New Roman" w:eastAsia="仿宋"/>
          <w:b/>
        </w:rPr>
        <w:t>隐患</w:t>
      </w:r>
      <w:r>
        <w:rPr>
          <w:rFonts w:ascii="Times New Roman" w:hAnsi="Times New Roman" w:eastAsia="仿宋"/>
          <w:b/>
        </w:rPr>
        <w:t>治理。</w:t>
      </w:r>
      <w:r>
        <w:rPr>
          <w:rFonts w:ascii="Times New Roman" w:hAnsi="Times New Roman" w:eastAsia="仿宋"/>
        </w:rPr>
        <w:t>各区、县（市）市场监管局要每月对辖区内特种设备领域开展一次安全风险专题研判，结合季节特点</w:t>
      </w:r>
      <w:r>
        <w:rPr>
          <w:rFonts w:hint="eastAsia" w:ascii="Times New Roman" w:hAnsi="Times New Roman" w:eastAsia="仿宋"/>
        </w:rPr>
        <w:t>以及</w:t>
      </w:r>
      <w:r>
        <w:rPr>
          <w:rFonts w:ascii="Times New Roman" w:hAnsi="Times New Roman" w:eastAsia="仿宋"/>
        </w:rPr>
        <w:t>近三年典型事故案例，系统分析影响本地区特种设备领域安全的因子和风险源，对重大风险要制定专门管控措施，实名制落实管控部门和责任人。对重大隐患要实行台账清单化管理，明确责任单位、责任人和整改完成时限，确保隐患整改闭环管控。</w:t>
      </w:r>
    </w:p>
    <w:p>
      <w:pPr>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3</w:t>
      </w:r>
      <w:r>
        <w:rPr>
          <w:rFonts w:ascii="Times New Roman" w:hAnsi="Times New Roman" w:eastAsia="仿宋" w:cs="Times New Roman"/>
          <w:b/>
          <w:sz w:val="32"/>
          <w:szCs w:val="32"/>
        </w:rPr>
        <w:t>. 强化特种设备打非治违</w:t>
      </w:r>
      <w:r>
        <w:rPr>
          <w:rFonts w:hint="eastAsia" w:ascii="Times New Roman" w:hAnsi="Times New Roman" w:eastAsia="仿宋" w:cs="Times New Roman"/>
          <w:b/>
          <w:sz w:val="32"/>
          <w:szCs w:val="32"/>
        </w:rPr>
        <w:t>。</w:t>
      </w:r>
      <w:r>
        <w:rPr>
          <w:rFonts w:ascii="Times New Roman" w:hAnsi="Times New Roman" w:eastAsia="仿宋" w:cs="Times New Roman"/>
          <w:sz w:val="32"/>
          <w:szCs w:val="32"/>
        </w:rPr>
        <w:t>各区、县（市）市场监管局要</w:t>
      </w:r>
      <w:r>
        <w:rPr>
          <w:rFonts w:hint="eastAsia" w:ascii="Times New Roman" w:hAnsi="Times New Roman" w:eastAsia="仿宋" w:cs="Times New Roman"/>
          <w:sz w:val="32"/>
          <w:szCs w:val="32"/>
        </w:rPr>
        <w:t>对无资质开展特种设备生产、充装以及擅自使用未经检验或经检验不合格的设备等违法违规行为坚持“零容忍”</w:t>
      </w:r>
      <w:r>
        <w:rPr>
          <w:rFonts w:ascii="Times New Roman" w:hAnsi="Times New Roman" w:eastAsia="仿宋" w:cs="Times New Roman"/>
          <w:sz w:val="32"/>
          <w:szCs w:val="32"/>
        </w:rPr>
        <w:t>，依法从严从重按照上限处罚</w:t>
      </w:r>
      <w:r>
        <w:rPr>
          <w:rFonts w:hint="eastAsia" w:ascii="Times New Roman" w:hAnsi="Times New Roman" w:eastAsia="仿宋" w:cs="Times New Roman"/>
          <w:sz w:val="32"/>
          <w:szCs w:val="32"/>
        </w:rPr>
        <w:t>，并</w:t>
      </w:r>
      <w:r>
        <w:rPr>
          <w:rFonts w:ascii="Times New Roman" w:hAnsi="Times New Roman" w:eastAsia="仿宋" w:cs="Times New Roman"/>
          <w:sz w:val="32"/>
          <w:szCs w:val="32"/>
        </w:rPr>
        <w:t>严格执行关停取缔措施。</w:t>
      </w:r>
      <w:r>
        <w:rPr>
          <w:rFonts w:hint="eastAsia" w:ascii="Times New Roman" w:hAnsi="Times New Roman" w:eastAsia="仿宋" w:cs="Times New Roman"/>
          <w:sz w:val="32"/>
          <w:szCs w:val="32"/>
        </w:rPr>
        <w:t>同时，</w:t>
      </w:r>
      <w:r>
        <w:rPr>
          <w:rFonts w:ascii="Times New Roman" w:hAnsi="Times New Roman" w:eastAsia="仿宋" w:cs="Times New Roman"/>
          <w:sz w:val="32"/>
          <w:szCs w:val="32"/>
        </w:rPr>
        <w:t>严格落实“两法衔接”制度，按照新《安全生产法》及刑法修正案（十一）的要求，达到移送标准的，依法移送公安机关，不得以罚代刑</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对于企业隐患自查零报告、</w:t>
      </w:r>
      <w:r>
        <w:rPr>
          <w:rFonts w:hint="eastAsia" w:ascii="Times New Roman" w:hAnsi="Times New Roman" w:eastAsia="仿宋" w:cs="Times New Roman"/>
          <w:sz w:val="32"/>
          <w:szCs w:val="32"/>
        </w:rPr>
        <w:t>自查</w:t>
      </w:r>
      <w:r>
        <w:rPr>
          <w:rFonts w:ascii="Times New Roman" w:hAnsi="Times New Roman" w:eastAsia="仿宋" w:cs="Times New Roman"/>
          <w:sz w:val="32"/>
          <w:szCs w:val="32"/>
        </w:rPr>
        <w:t>不彻底、走过场的使用单位，区、县（市）市场监管局要将其</w:t>
      </w:r>
      <w:r>
        <w:rPr>
          <w:rFonts w:hint="eastAsia" w:ascii="Times New Roman" w:hAnsi="Times New Roman" w:eastAsia="仿宋" w:cs="Times New Roman"/>
          <w:sz w:val="32"/>
          <w:szCs w:val="32"/>
        </w:rPr>
        <w:t>列为</w:t>
      </w:r>
      <w:r>
        <w:rPr>
          <w:rFonts w:ascii="Times New Roman" w:hAnsi="Times New Roman" w:eastAsia="仿宋" w:cs="Times New Roman"/>
          <w:sz w:val="32"/>
          <w:szCs w:val="32"/>
        </w:rPr>
        <w:t>重点监管对象，聘请专家严格开展全覆盖执法检查，一经发现存在安全隐患及违法行为，依法依规从严从重查处。</w:t>
      </w:r>
    </w:p>
    <w:p>
      <w:pPr>
        <w:ind w:firstLine="742" w:firstLineChars="231"/>
        <w:rPr>
          <w:rFonts w:ascii="Times New Roman" w:hAnsi="Times New Roman" w:eastAsia="仿宋" w:cs="Times New Roman"/>
          <w:sz w:val="32"/>
          <w:szCs w:val="32"/>
        </w:rPr>
      </w:pPr>
      <w:r>
        <w:rPr>
          <w:rFonts w:hint="eastAsia" w:ascii="Times New Roman" w:hAnsi="Times New Roman" w:eastAsia="仿宋" w:cs="Times New Roman"/>
          <w:b/>
          <w:sz w:val="32"/>
          <w:szCs w:val="32"/>
        </w:rPr>
        <w:t>4</w:t>
      </w:r>
      <w:r>
        <w:rPr>
          <w:rFonts w:ascii="Times New Roman" w:hAnsi="Times New Roman" w:eastAsia="仿宋" w:cs="Times New Roman"/>
          <w:b/>
          <w:sz w:val="32"/>
          <w:szCs w:val="32"/>
        </w:rPr>
        <w:t xml:space="preserve">. </w:t>
      </w:r>
      <w:r>
        <w:rPr>
          <w:rFonts w:hint="eastAsia" w:ascii="Times New Roman" w:hAnsi="Times New Roman" w:eastAsia="仿宋" w:cs="Times New Roman"/>
          <w:b/>
          <w:sz w:val="32"/>
          <w:szCs w:val="32"/>
        </w:rPr>
        <w:t>强化</w:t>
      </w:r>
      <w:r>
        <w:rPr>
          <w:rFonts w:ascii="Times New Roman" w:hAnsi="Times New Roman" w:eastAsia="仿宋" w:cs="Times New Roman"/>
          <w:b/>
          <w:sz w:val="32"/>
          <w:szCs w:val="32"/>
        </w:rPr>
        <w:t>新闻宣传。</w:t>
      </w:r>
      <w:r>
        <w:rPr>
          <w:rFonts w:ascii="Times New Roman" w:hAnsi="Times New Roman" w:eastAsia="仿宋" w:cs="Times New Roman"/>
          <w:sz w:val="32"/>
          <w:szCs w:val="32"/>
        </w:rPr>
        <w:t>各区、县（市）市场监管局每月要向市局报送、向社会公布至少一起特种设备执法典型案例，</w:t>
      </w:r>
      <w:r>
        <w:rPr>
          <w:rFonts w:hint="eastAsia" w:ascii="Times New Roman" w:hAnsi="Times New Roman" w:eastAsia="仿宋" w:cs="Times New Roman"/>
          <w:sz w:val="32"/>
          <w:szCs w:val="32"/>
        </w:rPr>
        <w:t>通过曝光一家企业，教育一个领域，</w:t>
      </w:r>
      <w:r>
        <w:rPr>
          <w:rFonts w:ascii="Times New Roman" w:hAnsi="Times New Roman" w:eastAsia="仿宋" w:cs="Times New Roman"/>
          <w:sz w:val="32"/>
          <w:szCs w:val="32"/>
        </w:rPr>
        <w:t>切实将安全生产压力传导至</w:t>
      </w:r>
      <w:r>
        <w:rPr>
          <w:rFonts w:hint="eastAsia" w:ascii="Times New Roman" w:hAnsi="Times New Roman" w:eastAsia="仿宋" w:cs="Times New Roman"/>
          <w:sz w:val="32"/>
          <w:szCs w:val="32"/>
        </w:rPr>
        <w:t>特种设备相关</w:t>
      </w:r>
      <w:r>
        <w:rPr>
          <w:rFonts w:ascii="Times New Roman" w:hAnsi="Times New Roman" w:eastAsia="仿宋" w:cs="Times New Roman"/>
          <w:sz w:val="32"/>
          <w:szCs w:val="32"/>
        </w:rPr>
        <w:t>单位。市局将对当月未报典型案例的单位进行通报。</w:t>
      </w:r>
    </w:p>
    <w:p>
      <w:pPr>
        <w:pStyle w:val="2"/>
        <w:ind w:firstLine="640" w:firstLineChars="200"/>
        <w:jc w:val="both"/>
        <w:rPr>
          <w:rFonts w:ascii="楷体" w:hAnsi="楷体" w:eastAsia="楷体"/>
        </w:rPr>
      </w:pPr>
      <w:r>
        <w:rPr>
          <w:rFonts w:hint="eastAsia" w:ascii="楷体" w:hAnsi="楷体" w:eastAsia="楷体"/>
        </w:rPr>
        <w:t>（三）在安全监管长效机制建设上拿出硬措施</w:t>
      </w:r>
    </w:p>
    <w:p>
      <w:pPr>
        <w:pStyle w:val="2"/>
        <w:ind w:firstLine="643" w:firstLineChars="200"/>
        <w:jc w:val="both"/>
        <w:rPr>
          <w:rFonts w:ascii="仿宋" w:hAnsi="仿宋" w:eastAsia="仿宋"/>
        </w:rPr>
      </w:pPr>
      <w:r>
        <w:rPr>
          <w:rFonts w:hint="eastAsia" w:ascii="仿宋" w:hAnsi="仿宋" w:eastAsia="仿宋"/>
          <w:b/>
        </w:rPr>
        <w:t>1. 对特种设备关键环节监管的措施要硬。</w:t>
      </w:r>
      <w:r>
        <w:rPr>
          <w:rFonts w:hint="eastAsia" w:ascii="仿宋" w:hAnsi="仿宋" w:eastAsia="仿宋"/>
        </w:rPr>
        <w:t>各区、县（市）市场监管局要突出特种设备安装（改造、维修）和管理两个关键环节，划出红线、明确底线。坚决杜绝无资质的单位开展特种设备安装（改造、维修）活动。对于不讲诚信、不负责任、枉顾安全的单位要列入黑名单，依法依规从严从重查处，坚决清除出安装市场。</w:t>
      </w:r>
    </w:p>
    <w:p>
      <w:pPr>
        <w:ind w:firstLine="643" w:firstLineChars="200"/>
        <w:rPr>
          <w:rFonts w:ascii="仿宋" w:hAnsi="仿宋" w:eastAsia="仿宋"/>
          <w:sz w:val="32"/>
          <w:szCs w:val="32"/>
        </w:rPr>
      </w:pPr>
      <w:r>
        <w:rPr>
          <w:rFonts w:hint="eastAsia" w:ascii="仿宋" w:hAnsi="仿宋" w:eastAsia="仿宋"/>
          <w:b/>
          <w:sz w:val="32"/>
          <w:szCs w:val="32"/>
        </w:rPr>
        <w:t>2. 对特种设备隐患排查整改的措施要硬。</w:t>
      </w:r>
      <w:r>
        <w:rPr>
          <w:rFonts w:hint="eastAsia" w:ascii="仿宋" w:hAnsi="仿宋" w:eastAsia="仿宋"/>
          <w:sz w:val="32"/>
          <w:szCs w:val="32"/>
        </w:rPr>
        <w:t>对一般隐患，要坚持即发即改、立行立改，做到分秒不拖、事不过夜；对重大隐患，要制定针对性整改方案，落实责任、技术、措施、时限、资金、应急管控等安排要求，并对整改完成情况进行评估，对逾期未整改的隐患市局将挂牌督办。</w:t>
      </w:r>
    </w:p>
    <w:p>
      <w:pPr>
        <w:pStyle w:val="2"/>
        <w:ind w:firstLine="643" w:firstLineChars="200"/>
        <w:rPr>
          <w:rFonts w:ascii="Times New Roman" w:hAnsi="Times New Roman" w:eastAsia="仿宋"/>
        </w:rPr>
      </w:pPr>
      <w:r>
        <w:rPr>
          <w:rFonts w:ascii="Times New Roman" w:hAnsi="Times New Roman" w:eastAsia="仿宋"/>
          <w:b/>
        </w:rPr>
        <w:t>3. 对特种设备人员安全培训的措施要硬</w:t>
      </w:r>
      <w:r>
        <w:rPr>
          <w:rFonts w:hint="eastAsia" w:ascii="Times New Roman" w:hAnsi="Times New Roman" w:eastAsia="仿宋"/>
          <w:b/>
        </w:rPr>
        <w:t>。</w:t>
      </w:r>
      <w:r>
        <w:rPr>
          <w:rFonts w:hint="eastAsia" w:ascii="Times New Roman" w:hAnsi="Times New Roman" w:eastAsia="仿宋"/>
        </w:rPr>
        <w:t>要求企业逐人对特种设备安全管理人员和特种设备作业人员进行全面再培训，坚决落实“不持证不上岗，</w:t>
      </w:r>
      <w:r>
        <w:rPr>
          <w:rFonts w:hint="eastAsia" w:ascii="仿宋" w:hAnsi="仿宋" w:eastAsia="仿宋" w:cs="仿宋"/>
          <w:lang w:val="zh-CN"/>
        </w:rPr>
        <w:t>不培训不上岗，不演练不上岗</w:t>
      </w:r>
      <w:r>
        <w:rPr>
          <w:rFonts w:hint="eastAsia" w:ascii="Times New Roman" w:hAnsi="Times New Roman" w:eastAsia="仿宋"/>
        </w:rPr>
        <w:t>”</w:t>
      </w:r>
      <w:r>
        <w:rPr>
          <w:rFonts w:hint="eastAsia" w:ascii="Times New Roman" w:hAnsi="Times New Roman" w:eastAsia="仿宋"/>
          <w:lang w:eastAsia="zh-CN"/>
        </w:rPr>
        <w:t>的要求</w:t>
      </w:r>
      <w:r>
        <w:rPr>
          <w:rFonts w:hint="eastAsia" w:ascii="Times New Roman" w:hAnsi="Times New Roman" w:eastAsia="仿宋"/>
        </w:rPr>
        <w:t>。</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、全面开展特种设备安全隐患起底排查工作</w:t>
      </w:r>
    </w:p>
    <w:p>
      <w:pPr>
        <w:ind w:firstLine="640" w:firstLineChars="200"/>
        <w:rPr>
          <w:rFonts w:ascii="仿宋" w:hAnsi="仿宋" w:eastAsia="仿宋" w:cs="Times New Roman"/>
          <w:b/>
          <w:sz w:val="32"/>
          <w:szCs w:val="32"/>
        </w:rPr>
      </w:pPr>
      <w:r>
        <w:rPr>
          <w:rFonts w:ascii="Times New Roman" w:hAnsi="Times New Roman" w:eastAsia="楷体" w:cs="Times New Roman"/>
          <w:sz w:val="32"/>
          <w:szCs w:val="32"/>
        </w:rPr>
        <w:t xml:space="preserve">1. </w:t>
      </w:r>
      <w:r>
        <w:rPr>
          <w:rFonts w:hint="eastAsia" w:ascii="Times New Roman" w:hAnsi="Times New Roman" w:eastAsia="楷体" w:cs="Times New Roman"/>
          <w:sz w:val="32"/>
          <w:szCs w:val="32"/>
        </w:rPr>
        <w:t>开展气体充装环节隐患排查。</w:t>
      </w:r>
      <w:r>
        <w:rPr>
          <w:rFonts w:hint="eastAsia" w:ascii="仿宋" w:hAnsi="仿宋" w:eastAsia="仿宋" w:cs="Times New Roman"/>
          <w:sz w:val="32"/>
          <w:szCs w:val="32"/>
        </w:rPr>
        <w:t>要加强液化石油气瓶、车用气瓶、工业气瓶、移动式压力容器充装环节安全监管。排查充装单位是否严格落实充装作业管理相关规定，认真执行禁止“车对车”充装、禁止充装非自有产权、超过检验有效期等不合格气瓶等禁止性规定，对违反禁止性规定的企业坚决责令停业整顿；液化石油气瓶充装站气瓶充装追溯系统是否运行正常；车瓶充装站充装检查记录是否完整，是否认真核对车瓶使用登记证与车瓶信息、车辆信息是否一致，车瓶是否超过检验有效期，是否做好充装信息录入。</w:t>
      </w:r>
      <w:r>
        <w:rPr>
          <w:rFonts w:ascii="Times New Roman" w:hAnsi="Times New Roman" w:eastAsia="仿宋" w:cs="Times New Roman"/>
          <w:sz w:val="32"/>
          <w:szCs w:val="32"/>
        </w:rPr>
        <w:t>每</w:t>
      </w:r>
      <w:r>
        <w:rPr>
          <w:rFonts w:hint="eastAsia" w:ascii="Times New Roman" w:hAnsi="Times New Roman" w:eastAsia="仿宋" w:cs="Times New Roman"/>
          <w:sz w:val="32"/>
          <w:szCs w:val="32"/>
        </w:rPr>
        <w:t>日16:00</w:t>
      </w:r>
      <w:r>
        <w:rPr>
          <w:rFonts w:ascii="Times New Roman" w:hAnsi="Times New Roman" w:eastAsia="仿宋" w:cs="Times New Roman"/>
          <w:sz w:val="32"/>
          <w:szCs w:val="32"/>
        </w:rPr>
        <w:t>前，将排查统计表（附件6、附件7）上报市局承压处。</w:t>
      </w:r>
    </w:p>
    <w:p>
      <w:pPr>
        <w:ind w:firstLine="640" w:firstLineChars="200"/>
        <w:rPr>
          <w:rFonts w:ascii="Times New Roman" w:hAnsi="Times New Roman" w:eastAsia="楷体_GB2312" w:cs="Times New Roman"/>
          <w:b/>
          <w:bCs/>
          <w:sz w:val="32"/>
          <w:szCs w:val="32"/>
        </w:rPr>
      </w:pPr>
      <w:r>
        <w:rPr>
          <w:rFonts w:hint="eastAsia" w:ascii="Times New Roman" w:hAnsi="Times New Roman" w:eastAsia="楷体_GB2312" w:cs="Times New Roman"/>
          <w:bCs/>
          <w:sz w:val="32"/>
          <w:szCs w:val="32"/>
        </w:rPr>
        <w:t>2</w:t>
      </w:r>
      <w:r>
        <w:rPr>
          <w:rFonts w:ascii="Times New Roman" w:hAnsi="Times New Roman" w:eastAsia="楷体_GB2312" w:cs="Times New Roman"/>
          <w:b/>
          <w:bCs/>
          <w:sz w:val="32"/>
          <w:szCs w:val="32"/>
        </w:rPr>
        <w:t xml:space="preserve">. </w:t>
      </w:r>
      <w:r>
        <w:rPr>
          <w:rFonts w:ascii="Times New Roman" w:hAnsi="Times New Roman" w:eastAsia="楷体" w:cs="Times New Roman"/>
          <w:bCs/>
          <w:sz w:val="32"/>
          <w:szCs w:val="32"/>
        </w:rPr>
        <w:t>开展锅炉隐患排查。</w:t>
      </w:r>
      <w:r>
        <w:rPr>
          <w:rFonts w:ascii="Times New Roman" w:hAnsi="Times New Roman" w:eastAsia="仿宋" w:cs="Times New Roman"/>
          <w:sz w:val="32"/>
          <w:szCs w:val="32"/>
        </w:rPr>
        <w:t>按照《关于开展锅炉安全专项检查的通知》要求，深化锅炉</w:t>
      </w:r>
      <w:r>
        <w:rPr>
          <w:rFonts w:hint="eastAsia" w:ascii="Times New Roman" w:hAnsi="Times New Roman" w:eastAsia="仿宋" w:cs="Times New Roman"/>
          <w:sz w:val="32"/>
          <w:szCs w:val="32"/>
        </w:rPr>
        <w:t>安全专项监督检查</w:t>
      </w:r>
      <w:r>
        <w:rPr>
          <w:rFonts w:ascii="Times New Roman" w:hAnsi="Times New Roman" w:eastAsia="仿宋" w:cs="Times New Roman"/>
          <w:sz w:val="32"/>
          <w:szCs w:val="32"/>
        </w:rPr>
        <w:t>，</w:t>
      </w:r>
      <w:r>
        <w:rPr>
          <w:rFonts w:hint="eastAsia" w:ascii="Times New Roman" w:hAnsi="Times New Roman" w:eastAsia="仿宋" w:cs="Times New Roman"/>
          <w:sz w:val="32"/>
          <w:szCs w:val="32"/>
        </w:rPr>
        <w:t>特别</w:t>
      </w:r>
      <w:r>
        <w:rPr>
          <w:rFonts w:ascii="Times New Roman" w:hAnsi="Times New Roman" w:eastAsia="仿宋" w:cs="Times New Roman"/>
          <w:sz w:val="32"/>
          <w:szCs w:val="32"/>
        </w:rPr>
        <w:t>对燃气锅炉</w:t>
      </w:r>
      <w:r>
        <w:rPr>
          <w:rFonts w:hint="eastAsia" w:ascii="Times New Roman" w:hAnsi="Times New Roman" w:eastAsia="仿宋" w:cs="Times New Roman"/>
          <w:sz w:val="32"/>
          <w:szCs w:val="32"/>
        </w:rPr>
        <w:t>、蒸汽锅炉</w:t>
      </w:r>
      <w:r>
        <w:rPr>
          <w:rFonts w:ascii="Times New Roman" w:hAnsi="Times New Roman" w:eastAsia="仿宋" w:cs="Times New Roman"/>
          <w:sz w:val="32"/>
          <w:szCs w:val="32"/>
        </w:rPr>
        <w:t>要进行重点排查，重点检查燃气锅炉供气装置中特种设备范围内燃气管道</w:t>
      </w:r>
      <w:r>
        <w:rPr>
          <w:rFonts w:hint="eastAsia" w:ascii="Times New Roman" w:hAnsi="Times New Roman" w:eastAsia="仿宋" w:cs="Times New Roman"/>
          <w:sz w:val="32"/>
          <w:szCs w:val="32"/>
        </w:rPr>
        <w:t>、压力容器</w:t>
      </w:r>
      <w:r>
        <w:rPr>
          <w:rFonts w:ascii="Times New Roman" w:hAnsi="Times New Roman" w:eastAsia="仿宋" w:cs="Times New Roman"/>
          <w:sz w:val="32"/>
          <w:szCs w:val="32"/>
        </w:rPr>
        <w:t>是否办理使用登记、是否进行定期检验</w:t>
      </w:r>
      <w:r>
        <w:rPr>
          <w:rFonts w:hint="eastAsia" w:ascii="Times New Roman" w:hAnsi="Times New Roman" w:eastAsia="仿宋" w:cs="Times New Roman"/>
          <w:sz w:val="32"/>
          <w:szCs w:val="32"/>
        </w:rPr>
        <w:t>；蒸汽</w:t>
      </w:r>
      <w:r>
        <w:rPr>
          <w:rFonts w:ascii="Times New Roman" w:hAnsi="Times New Roman" w:eastAsia="仿宋" w:cs="Times New Roman"/>
          <w:sz w:val="32"/>
          <w:szCs w:val="32"/>
        </w:rPr>
        <w:t>锅炉安全附件</w:t>
      </w:r>
      <w:r>
        <w:rPr>
          <w:rFonts w:hint="eastAsia" w:ascii="Times New Roman" w:hAnsi="Times New Roman" w:eastAsia="仿宋" w:cs="Times New Roman"/>
          <w:sz w:val="32"/>
          <w:szCs w:val="32"/>
        </w:rPr>
        <w:t>（安全阀、压力表、水位计等）是否检验合格、</w:t>
      </w:r>
      <w:r>
        <w:rPr>
          <w:rFonts w:ascii="Times New Roman" w:hAnsi="Times New Roman" w:eastAsia="仿宋" w:cs="Times New Roman"/>
          <w:sz w:val="32"/>
          <w:szCs w:val="32"/>
        </w:rPr>
        <w:t>安全保护装置</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配备</w:t>
      </w:r>
      <w:r>
        <w:rPr>
          <w:rFonts w:hint="eastAsia" w:ascii="Times New Roman" w:hAnsi="Times New Roman" w:eastAsia="仿宋" w:cs="Times New Roman"/>
          <w:sz w:val="32"/>
          <w:szCs w:val="32"/>
        </w:rPr>
        <w:t>齐全并</w:t>
      </w:r>
      <w:r>
        <w:rPr>
          <w:rFonts w:ascii="Times New Roman" w:hAnsi="Times New Roman" w:eastAsia="仿宋" w:cs="Times New Roman"/>
          <w:sz w:val="32"/>
          <w:szCs w:val="32"/>
        </w:rPr>
        <w:t>完好</w:t>
      </w:r>
      <w:r>
        <w:rPr>
          <w:rFonts w:hint="eastAsia" w:ascii="Times New Roman" w:hAnsi="Times New Roman" w:eastAsia="仿宋" w:cs="Times New Roman"/>
          <w:sz w:val="32"/>
          <w:szCs w:val="32"/>
        </w:rPr>
        <w:t>。</w:t>
      </w:r>
    </w:p>
    <w:p>
      <w:pPr>
        <w:ind w:firstLine="640" w:firstLineChars="200"/>
        <w:rPr>
          <w:rFonts w:ascii="Times New Roman" w:hAnsi="Times New Roman" w:eastAsia="楷体" w:cs="Times New Roman"/>
          <w:sz w:val="32"/>
          <w:szCs w:val="32"/>
        </w:rPr>
      </w:pPr>
      <w:r>
        <w:rPr>
          <w:rFonts w:hint="eastAsia" w:ascii="Times New Roman" w:hAnsi="Times New Roman" w:eastAsia="楷体" w:cs="Times New Roman"/>
          <w:bCs/>
          <w:sz w:val="32"/>
          <w:szCs w:val="32"/>
        </w:rPr>
        <w:t>3</w:t>
      </w:r>
      <w:r>
        <w:rPr>
          <w:rFonts w:ascii="Times New Roman" w:hAnsi="Times New Roman" w:eastAsia="楷体" w:cs="Times New Roman"/>
          <w:bCs/>
          <w:sz w:val="32"/>
          <w:szCs w:val="32"/>
        </w:rPr>
        <w:t>. 开展压力容器隐患排查。</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一是</w:t>
      </w:r>
      <w:r>
        <w:rPr>
          <w:rFonts w:ascii="Times New Roman" w:hAnsi="Times New Roman" w:eastAsia="仿宋" w:cs="Times New Roman"/>
          <w:sz w:val="32"/>
          <w:szCs w:val="32"/>
        </w:rPr>
        <w:t>持续整治石油和化工企业、涉氨制冷单位、高校和科研院（所）实验室、医院违规使用特种设备</w:t>
      </w:r>
      <w:r>
        <w:rPr>
          <w:rFonts w:hint="eastAsia" w:ascii="Times New Roman" w:hAnsi="Times New Roman" w:eastAsia="仿宋" w:cs="Times New Roman"/>
          <w:sz w:val="32"/>
          <w:szCs w:val="32"/>
        </w:rPr>
        <w:t>范围内</w:t>
      </w:r>
      <w:r>
        <w:rPr>
          <w:rFonts w:ascii="Times New Roman" w:hAnsi="Times New Roman" w:eastAsia="仿宋" w:cs="Times New Roman"/>
          <w:sz w:val="32"/>
          <w:szCs w:val="32"/>
        </w:rPr>
        <w:t>压力容器、氧舱、气瓶等违法行为。</w:t>
      </w:r>
      <w:r>
        <w:rPr>
          <w:rFonts w:hint="eastAsia" w:ascii="Times New Roman" w:hAnsi="Times New Roman" w:eastAsia="仿宋" w:cs="Times New Roman"/>
          <w:sz w:val="32"/>
          <w:szCs w:val="32"/>
        </w:rPr>
        <w:t>督促</w:t>
      </w:r>
      <w:r>
        <w:rPr>
          <w:rFonts w:ascii="Times New Roman" w:hAnsi="Times New Roman" w:eastAsia="仿宋" w:cs="Times New Roman"/>
          <w:sz w:val="32"/>
          <w:szCs w:val="32"/>
        </w:rPr>
        <w:t>使用单位应用隐患自查</w:t>
      </w:r>
      <w:r>
        <w:rPr>
          <w:rFonts w:hint="eastAsia" w:ascii="Times New Roman" w:hAnsi="Times New Roman" w:eastAsia="仿宋" w:cs="Times New Roman"/>
          <w:sz w:val="32"/>
          <w:szCs w:val="32"/>
        </w:rPr>
        <w:t>APP</w:t>
      </w:r>
      <w:r>
        <w:rPr>
          <w:rFonts w:ascii="Times New Roman" w:hAnsi="Times New Roman" w:eastAsia="仿宋" w:cs="Times New Roman"/>
          <w:sz w:val="32"/>
          <w:szCs w:val="32"/>
        </w:rPr>
        <w:t>开展隐患自查，严格落实隐患排查治理</w:t>
      </w:r>
      <w:r>
        <w:rPr>
          <w:rFonts w:hint="eastAsia" w:ascii="仿宋" w:hAnsi="仿宋" w:eastAsia="仿宋" w:cs="仿宋"/>
          <w:sz w:val="32"/>
          <w:szCs w:val="32"/>
        </w:rPr>
        <w:t>“四个清单”</w:t>
      </w:r>
      <w:r>
        <w:rPr>
          <w:rFonts w:ascii="Times New Roman" w:hAnsi="Times New Roman" w:eastAsia="仿宋" w:cs="Times New Roman"/>
          <w:sz w:val="32"/>
          <w:szCs w:val="32"/>
        </w:rPr>
        <w:t>制度，切实做到设备台帐和档案齐全、管理机构和人员明确、作业人员持证上岗、</w:t>
      </w:r>
      <w:r>
        <w:rPr>
          <w:rFonts w:hint="eastAsia" w:ascii="Times New Roman" w:hAnsi="Times New Roman" w:eastAsia="仿宋" w:cs="Times New Roman"/>
          <w:sz w:val="32"/>
          <w:szCs w:val="32"/>
        </w:rPr>
        <w:t>制定</w:t>
      </w:r>
      <w:r>
        <w:rPr>
          <w:rFonts w:ascii="Times New Roman" w:hAnsi="Times New Roman" w:eastAsia="仿宋" w:cs="Times New Roman"/>
          <w:sz w:val="32"/>
          <w:szCs w:val="32"/>
        </w:rPr>
        <w:t>应急预案</w:t>
      </w:r>
      <w:r>
        <w:rPr>
          <w:rFonts w:hint="eastAsia" w:ascii="Times New Roman" w:hAnsi="Times New Roman" w:eastAsia="仿宋" w:cs="Times New Roman"/>
          <w:sz w:val="32"/>
          <w:szCs w:val="32"/>
        </w:rPr>
        <w:t>并定期开展演练</w:t>
      </w:r>
      <w:r>
        <w:rPr>
          <w:rFonts w:ascii="Times New Roman" w:hAnsi="Times New Roman" w:eastAsia="仿宋" w:cs="Times New Roman"/>
          <w:sz w:val="32"/>
          <w:szCs w:val="32"/>
        </w:rPr>
        <w:t>等使用管理要求。</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二是</w:t>
      </w:r>
      <w:r>
        <w:rPr>
          <w:rFonts w:ascii="Times New Roman" w:hAnsi="Times New Roman" w:eastAsia="仿宋" w:cs="Times New Roman"/>
          <w:sz w:val="32"/>
          <w:szCs w:val="32"/>
        </w:rPr>
        <w:t>按照《沈阳市移动式压力容器安全隐患专项整治工作方案》的相关工作要求，继续强化移动式压力容器隐患排查，相关使用单位要严格落实签字背书、人员培训制度，严格</w:t>
      </w:r>
      <w:r>
        <w:rPr>
          <w:rFonts w:hint="eastAsia" w:ascii="Times New Roman" w:hAnsi="Times New Roman" w:eastAsia="仿宋" w:cs="Times New Roman"/>
          <w:sz w:val="32"/>
          <w:szCs w:val="32"/>
        </w:rPr>
        <w:t>落实</w:t>
      </w:r>
      <w:r>
        <w:rPr>
          <w:rFonts w:ascii="Times New Roman" w:hAnsi="Times New Roman" w:eastAsia="仿宋" w:cs="Times New Roman"/>
          <w:sz w:val="32"/>
          <w:szCs w:val="32"/>
        </w:rPr>
        <w:t>禁止</w:t>
      </w:r>
      <w:r>
        <w:rPr>
          <w:rFonts w:hint="eastAsia" w:ascii="仿宋" w:hAnsi="仿宋" w:eastAsia="仿宋" w:cs="仿宋"/>
          <w:sz w:val="32"/>
          <w:szCs w:val="32"/>
        </w:rPr>
        <w:t>“车对车”充装等禁止性规定</w:t>
      </w:r>
      <w:r>
        <w:rPr>
          <w:rFonts w:ascii="Times New Roman" w:hAnsi="Times New Roman" w:eastAsia="仿宋" w:cs="Times New Roman"/>
          <w:sz w:val="32"/>
          <w:szCs w:val="32"/>
        </w:rPr>
        <w:t>，严格按照要求通过隐患自查</w:t>
      </w:r>
      <w:r>
        <w:rPr>
          <w:rFonts w:hint="eastAsia" w:ascii="Times New Roman" w:hAnsi="Times New Roman" w:eastAsia="仿宋" w:cs="Times New Roman"/>
          <w:sz w:val="32"/>
          <w:szCs w:val="32"/>
        </w:rPr>
        <w:t>APP</w:t>
      </w:r>
      <w:r>
        <w:rPr>
          <w:rFonts w:ascii="Times New Roman" w:hAnsi="Times New Roman" w:eastAsia="仿宋" w:cs="Times New Roman"/>
          <w:sz w:val="32"/>
          <w:szCs w:val="32"/>
        </w:rPr>
        <w:t>开展隐患自查。</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三是</w:t>
      </w:r>
      <w:r>
        <w:rPr>
          <w:rFonts w:ascii="Times New Roman" w:hAnsi="Times New Roman" w:eastAsia="仿宋" w:cs="Times New Roman"/>
          <w:sz w:val="32"/>
          <w:szCs w:val="32"/>
        </w:rPr>
        <w:t>对气瓶定期检验情况开展排查。按照《气瓶安全技术规程》相关规定，重点对使用燃气汽车的出租车公司、客运公司的车瓶定期检验、使用登记、</w:t>
      </w:r>
      <w:r>
        <w:rPr>
          <w:rFonts w:hint="eastAsia" w:ascii="Times New Roman" w:hAnsi="Times New Roman" w:eastAsia="仿宋" w:cs="Times New Roman"/>
          <w:sz w:val="32"/>
          <w:szCs w:val="32"/>
        </w:rPr>
        <w:t>车瓶</w:t>
      </w:r>
      <w:r>
        <w:rPr>
          <w:rFonts w:ascii="Times New Roman" w:hAnsi="Times New Roman" w:eastAsia="仿宋" w:cs="Times New Roman"/>
          <w:sz w:val="32"/>
          <w:szCs w:val="32"/>
        </w:rPr>
        <w:t>加气</w:t>
      </w:r>
      <w:r>
        <w:rPr>
          <w:rFonts w:hint="eastAsia" w:ascii="Times New Roman" w:hAnsi="Times New Roman" w:eastAsia="仿宋" w:cs="Times New Roman"/>
          <w:sz w:val="32"/>
          <w:szCs w:val="32"/>
        </w:rPr>
        <w:t>途径</w:t>
      </w:r>
      <w:r>
        <w:rPr>
          <w:rFonts w:ascii="Times New Roman" w:hAnsi="Times New Roman" w:eastAsia="仿宋" w:cs="Times New Roman"/>
          <w:sz w:val="32"/>
          <w:szCs w:val="32"/>
        </w:rPr>
        <w:t>等情况开展排查。</w:t>
      </w:r>
    </w:p>
    <w:p>
      <w:pPr>
        <w:ind w:firstLine="640" w:firstLineChars="200"/>
        <w:rPr>
          <w:rFonts w:ascii="Times New Roman" w:hAnsi="Times New Roman" w:eastAsia="仿宋" w:cs="Times New Roman"/>
          <w:sz w:val="32"/>
          <w:szCs w:val="32"/>
        </w:rPr>
      </w:pPr>
      <w:r>
        <w:rPr>
          <w:rFonts w:hint="eastAsia" w:ascii="Times New Roman" w:hAnsi="Times New Roman" w:eastAsia="楷体_GB2312" w:cs="Times New Roman"/>
          <w:bCs/>
          <w:sz w:val="32"/>
          <w:szCs w:val="32"/>
        </w:rPr>
        <w:t>4</w:t>
      </w:r>
      <w:r>
        <w:rPr>
          <w:rFonts w:ascii="Times New Roman" w:hAnsi="Times New Roman" w:eastAsia="楷体_GB2312" w:cs="Times New Roman"/>
          <w:bCs/>
          <w:sz w:val="32"/>
          <w:szCs w:val="32"/>
        </w:rPr>
        <w:t>.</w:t>
      </w:r>
      <w:r>
        <w:rPr>
          <w:rFonts w:ascii="Times New Roman" w:hAnsi="Times New Roman" w:eastAsia="楷体_GB2312" w:cs="Times New Roman"/>
          <w:b/>
          <w:bCs/>
          <w:sz w:val="32"/>
          <w:szCs w:val="32"/>
        </w:rPr>
        <w:t xml:space="preserve"> </w:t>
      </w:r>
      <w:r>
        <w:rPr>
          <w:rFonts w:ascii="Times New Roman" w:hAnsi="Times New Roman" w:eastAsia="楷体" w:cs="Times New Roman"/>
          <w:bCs/>
          <w:sz w:val="32"/>
          <w:szCs w:val="32"/>
        </w:rPr>
        <w:t>开展压力管道隐患排查</w:t>
      </w:r>
      <w:r>
        <w:rPr>
          <w:rFonts w:ascii="Times New Roman" w:hAnsi="Times New Roman" w:eastAsia="楷体_GB2312" w:cs="Times New Roman"/>
          <w:b/>
          <w:bCs/>
          <w:sz w:val="32"/>
          <w:szCs w:val="32"/>
        </w:rPr>
        <w:t>。</w:t>
      </w:r>
      <w:r>
        <w:rPr>
          <w:rFonts w:hint="eastAsia" w:ascii="Times New Roman" w:hAnsi="Times New Roman" w:eastAsia="仿宋" w:cs="Times New Roman"/>
          <w:sz w:val="32"/>
          <w:szCs w:val="32"/>
        </w:rPr>
        <w:t>排查</w:t>
      </w:r>
      <w:r>
        <w:rPr>
          <w:rFonts w:ascii="Times New Roman" w:hAnsi="Times New Roman" w:eastAsia="仿宋" w:cs="Times New Roman"/>
          <w:sz w:val="32"/>
          <w:szCs w:val="32"/>
        </w:rPr>
        <w:t>易燃易爆等危险化学品介质相关的工业管道</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严格按照《特种设备使用管理规则》要求落实安全管理责任。燃气管道企业</w:t>
      </w:r>
      <w:r>
        <w:rPr>
          <w:rFonts w:hint="eastAsia" w:ascii="Times New Roman" w:hAnsi="Times New Roman" w:eastAsia="仿宋" w:cs="Times New Roman"/>
          <w:sz w:val="32"/>
          <w:szCs w:val="32"/>
        </w:rPr>
        <w:t>是否</w:t>
      </w:r>
      <w:r>
        <w:rPr>
          <w:rFonts w:ascii="Times New Roman" w:hAnsi="Times New Roman" w:eastAsia="仿宋" w:cs="Times New Roman"/>
          <w:sz w:val="32"/>
          <w:szCs w:val="32"/>
        </w:rPr>
        <w:t>按照《关于转发省市场局&lt;关于加强公用管道（燃气管道）法定检验管理工作&gt;的通知》要求，会同设计单位确认燃气管道属性，将基础信息台帐经企业负责人签字确认后上报，严格履行法定检验义务，及时向检验机构申报检验，完善特种设备智慧化监管平台数据，及时上传检验结论。</w:t>
      </w:r>
    </w:p>
    <w:p>
      <w:pPr>
        <w:ind w:firstLine="640" w:firstLineChars="200"/>
        <w:rPr>
          <w:rFonts w:ascii="Times New Roman" w:hAnsi="Times New Roman" w:eastAsia="仿宋" w:cs="Times New Roman"/>
          <w:sz w:val="32"/>
          <w:szCs w:val="32"/>
        </w:rPr>
      </w:pPr>
      <w:r>
        <w:rPr>
          <w:rFonts w:hint="eastAsia" w:ascii="Times New Roman" w:hAnsi="Times New Roman" w:eastAsia="楷体" w:cs="Times New Roman"/>
          <w:sz w:val="32"/>
          <w:szCs w:val="32"/>
        </w:rPr>
        <w:t>5</w:t>
      </w:r>
      <w:r>
        <w:rPr>
          <w:rFonts w:ascii="Times New Roman" w:hAnsi="Times New Roman" w:eastAsia="楷体" w:cs="Times New Roman"/>
          <w:sz w:val="32"/>
          <w:szCs w:val="32"/>
        </w:rPr>
        <w:t xml:space="preserve"> 开展大型游乐设施安全隐患排查。</w:t>
      </w:r>
      <w:r>
        <w:rPr>
          <w:rFonts w:ascii="Times New Roman" w:hAnsi="Times New Roman" w:eastAsia="仿宋" w:cs="Times New Roman"/>
          <w:sz w:val="32"/>
          <w:szCs w:val="32"/>
        </w:rPr>
        <w:t>各区、县（市）市场监管局要在前期工作的基础上，对辖区内大型游乐设施再开展一轮全覆盖监督检查，对存在安全隐患的设备要坚持零容忍，隐患不排除，设备不合格的，坚决采取关门、上锁、断电等措施，一律关停。对检查中发现的安全隐患一律建立台账销号处理，确保隐患闭环管控，见底清零。同时，要督促使用单位严格落实极端天气应急处置预案，确保在极端天气过程中辖区内的室外大型游乐设施应停尽停，并采取必要防护措施确保设备安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w:t>
      </w:r>
      <w:r>
        <w:rPr>
          <w:rFonts w:ascii="Times New Roman" w:hAnsi="Times New Roman" w:eastAsia="楷体" w:cs="Times New Roman"/>
          <w:sz w:val="32"/>
          <w:szCs w:val="32"/>
        </w:rPr>
        <w:t>开展客运索道安全隐患排查。</w:t>
      </w:r>
      <w:r>
        <w:rPr>
          <w:rFonts w:ascii="Times New Roman" w:hAnsi="Times New Roman" w:eastAsia="仿宋" w:cs="Times New Roman"/>
          <w:sz w:val="32"/>
          <w:szCs w:val="32"/>
        </w:rPr>
        <w:t>相关区市场监管局要对辖区内全部客运索道进行全覆盖隐患排查。重点排查：</w:t>
      </w:r>
      <w:r>
        <w:rPr>
          <w:rFonts w:ascii="Times New Roman" w:hAnsi="Times New Roman" w:eastAsia="仿宋" w:cs="Times New Roman"/>
          <w:b/>
          <w:sz w:val="32"/>
          <w:szCs w:val="32"/>
        </w:rPr>
        <w:t>一是</w:t>
      </w:r>
      <w:r>
        <w:rPr>
          <w:rFonts w:ascii="Times New Roman" w:hAnsi="Times New Roman" w:eastAsia="仿宋" w:cs="Times New Roman"/>
          <w:sz w:val="32"/>
          <w:szCs w:val="32"/>
        </w:rPr>
        <w:t>客运索道的吊具护栏、脱索保护功能、防止乘客通过迂回轮装置是否可靠；</w:t>
      </w:r>
      <w:r>
        <w:rPr>
          <w:rFonts w:ascii="Times New Roman" w:hAnsi="Times New Roman" w:eastAsia="仿宋" w:cs="Times New Roman"/>
          <w:b/>
          <w:sz w:val="32"/>
          <w:szCs w:val="32"/>
        </w:rPr>
        <w:t>二是</w:t>
      </w:r>
      <w:r>
        <w:rPr>
          <w:rFonts w:ascii="Times New Roman" w:hAnsi="Times New Roman" w:eastAsia="仿宋" w:cs="Times New Roman"/>
          <w:sz w:val="32"/>
          <w:szCs w:val="32"/>
        </w:rPr>
        <w:t>检查客运索道是否检验合格，如需检验应督促使用单位提前联系检验机构做好检验安排；</w:t>
      </w:r>
      <w:r>
        <w:rPr>
          <w:rFonts w:ascii="Times New Roman" w:hAnsi="Times New Roman" w:eastAsia="仿宋" w:cs="Times New Roman"/>
          <w:b/>
          <w:sz w:val="32"/>
          <w:szCs w:val="32"/>
        </w:rPr>
        <w:t>三是</w:t>
      </w:r>
      <w:r>
        <w:rPr>
          <w:rFonts w:ascii="Times New Roman" w:hAnsi="Times New Roman" w:eastAsia="仿宋" w:cs="Times New Roman"/>
          <w:sz w:val="32"/>
          <w:szCs w:val="32"/>
        </w:rPr>
        <w:t>要求使用单位严格落实安全管理制度和应急预案，在正式运营前及时开展应急演练。对存在安全隐患的客运索道一律停止使用。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w:t>
      </w:r>
      <w:r>
        <w:rPr>
          <w:rFonts w:ascii="Times New Roman" w:hAnsi="Times New Roman" w:eastAsia="仿宋" w:cs="Times New Roman"/>
          <w:sz w:val="32"/>
          <w:szCs w:val="32"/>
        </w:rPr>
        <w:t xml:space="preserve">. </w:t>
      </w:r>
      <w:r>
        <w:rPr>
          <w:rFonts w:ascii="Times New Roman" w:hAnsi="Times New Roman" w:eastAsia="楷体" w:cs="Times New Roman"/>
          <w:sz w:val="32"/>
          <w:szCs w:val="32"/>
        </w:rPr>
        <w:t>强化人员密集场所电梯安全隐患排查。</w:t>
      </w:r>
      <w:r>
        <w:rPr>
          <w:rFonts w:ascii="Times New Roman" w:hAnsi="Times New Roman" w:eastAsia="仿宋" w:cs="Times New Roman"/>
          <w:sz w:val="32"/>
          <w:szCs w:val="32"/>
        </w:rPr>
        <w:t>各区、县（市）市场监管局要加</w:t>
      </w:r>
      <w:r>
        <w:rPr>
          <w:rFonts w:hint="eastAsia" w:ascii="Times New Roman" w:hAnsi="Times New Roman" w:eastAsia="仿宋" w:cs="Times New Roman"/>
          <w:sz w:val="32"/>
          <w:szCs w:val="32"/>
        </w:rPr>
        <w:t>大</w:t>
      </w:r>
      <w:r>
        <w:rPr>
          <w:rFonts w:ascii="Times New Roman" w:hAnsi="Times New Roman" w:eastAsia="仿宋" w:cs="Times New Roman"/>
          <w:sz w:val="32"/>
          <w:szCs w:val="32"/>
        </w:rPr>
        <w:t>对辖区内人员密集场所在用电梯的执法检查及隐患排查整治力度，</w:t>
      </w:r>
      <w:r>
        <w:rPr>
          <w:rFonts w:hint="eastAsia" w:ascii="Times New Roman" w:hAnsi="Times New Roman" w:eastAsia="仿宋" w:cs="Times New Roman"/>
          <w:sz w:val="32"/>
          <w:szCs w:val="32"/>
        </w:rPr>
        <w:t>对</w:t>
      </w:r>
      <w:r>
        <w:rPr>
          <w:rFonts w:ascii="Times New Roman" w:hAnsi="Times New Roman" w:eastAsia="仿宋" w:cs="Times New Roman"/>
          <w:sz w:val="32"/>
          <w:szCs w:val="32"/>
        </w:rPr>
        <w:t>未按照规定办理使用登记</w:t>
      </w:r>
      <w:r>
        <w:rPr>
          <w:rFonts w:hint="eastAsia" w:ascii="Times New Roman" w:hAnsi="Times New Roman" w:eastAsia="仿宋" w:cs="Times New Roman"/>
          <w:sz w:val="32"/>
          <w:szCs w:val="32"/>
        </w:rPr>
        <w:t>、</w:t>
      </w:r>
      <w:r>
        <w:rPr>
          <w:rFonts w:ascii="Times New Roman" w:hAnsi="Times New Roman" w:eastAsia="仿宋" w:cs="Times New Roman"/>
          <w:sz w:val="32"/>
          <w:szCs w:val="32"/>
        </w:rPr>
        <w:t>超期未检或检验不合格</w:t>
      </w:r>
      <w:r>
        <w:rPr>
          <w:rFonts w:hint="eastAsia" w:ascii="Times New Roman" w:hAnsi="Times New Roman" w:eastAsia="仿宋" w:cs="Times New Roman"/>
          <w:sz w:val="32"/>
          <w:szCs w:val="32"/>
        </w:rPr>
        <w:t>以及</w:t>
      </w:r>
      <w:r>
        <w:rPr>
          <w:rFonts w:ascii="Times New Roman" w:hAnsi="Times New Roman" w:eastAsia="仿宋" w:cs="Times New Roman"/>
          <w:sz w:val="32"/>
          <w:szCs w:val="32"/>
        </w:rPr>
        <w:t>无维保的电梯要依法依规采取必要措施保障设备安全，并对违法行为依法从严查处。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r>
        <w:rPr>
          <w:rFonts w:ascii="Times New Roman" w:hAnsi="Times New Roman" w:eastAsia="仿宋" w:cs="Times New Roman"/>
          <w:b/>
          <w:sz w:val="32"/>
          <w:szCs w:val="32"/>
        </w:rPr>
        <w:t xml:space="preserve"> </w:t>
      </w:r>
      <w:r>
        <w:rPr>
          <w:rFonts w:ascii="Times New Roman" w:hAnsi="Times New Roman" w:eastAsia="楷体" w:cs="Times New Roman"/>
          <w:sz w:val="32"/>
          <w:szCs w:val="32"/>
        </w:rPr>
        <w:t>继续开展起重机械隐患排查。</w:t>
      </w:r>
      <w:r>
        <w:rPr>
          <w:rFonts w:ascii="Times New Roman" w:hAnsi="Times New Roman" w:eastAsia="仿宋" w:cs="Times New Roman"/>
          <w:sz w:val="32"/>
          <w:szCs w:val="32"/>
        </w:rPr>
        <w:t>各区、县（市）市场监管局要通知桥式、门式起重机相关生产单位、使用单位、检验机构和型式试验机构，做好安装（加装）高度限位装置以及相关检验和试验工作。并对辖区内起重机械使用单位隐患排查治理工作进行监督检查，重点检查起重机械使用单位安全管理、操作规程、维护保养、技术档案等制度建立及落实情况，起重机械司机、指挥和安全管理人员的持证情况。对发现的各类违法行为依法严厉查处。</w:t>
      </w:r>
    </w:p>
    <w:p>
      <w:pPr>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9</w:t>
      </w:r>
      <w:r>
        <w:rPr>
          <w:rFonts w:ascii="Times New Roman" w:hAnsi="Times New Roman" w:eastAsia="楷体" w:cs="Times New Roman"/>
          <w:sz w:val="32"/>
          <w:szCs w:val="32"/>
        </w:rPr>
        <w:t>. 开展场（厂）内专用机动车辆安全隐患排查。</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一是强化非公路用旅游观光车辆安全监管工作。</w:t>
      </w:r>
      <w:r>
        <w:rPr>
          <w:rFonts w:ascii="Times New Roman" w:hAnsi="Times New Roman" w:eastAsia="仿宋" w:cs="Times New Roman"/>
          <w:sz w:val="32"/>
          <w:szCs w:val="32"/>
        </w:rPr>
        <w:t>各区、县（市）市场监管局要对辖区内公园、主题乐园、旅游景区所使用的观光车和观光列车进行摸排，并建立台账。对使用单位开展安全隐患专项检查，并将在盘山道、湖边堤坝路上行驶的观光车辆作为检查的重点，督促使用单位进行隐患排查，建立自查台账，操作人员持证上岗，超期未检或存在安全隐患的观光车辆一律不得使用。对发现的各类违法行为依法依规严厉查处。</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二是做好机动工业车辆（叉车）安全监管工作。</w:t>
      </w:r>
      <w:r>
        <w:rPr>
          <w:rFonts w:ascii="Times New Roman" w:hAnsi="Times New Roman" w:eastAsia="仿宋" w:cs="Times New Roman"/>
          <w:sz w:val="32"/>
          <w:szCs w:val="32"/>
        </w:rPr>
        <w:t>各区、县（市）市场监管局要对辖区内叉车使用单位较为集中的工业园区、物流园区不定期开展专项执法检查和巡查，依法依规严厉打击无证驾驶、违章操作和擅自使用超期未检或经检验不合格叉车的违法行为。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同时，要将使用防爆叉车的化工企业作为监管重点单位，并督促使用单位进行隐患排查，建立自查台账，所属设备由辖区监管部门单独建立台账进行监管，坚决杜绝出现违规使用超期未检或检验不合格的设备及操作员无证上岗的现象发生。</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六、时间安排</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次专项整治行动从2021年10月下旬至年底，分三个阶段实施：一是集中排查整治阶段（从即日起至11月20日），各区、县（市）市场监管局分别制定方案，全面动员推进。二是总体分析评估阶段（11月21日至12月20日），组织对排查整改进展情况进行评估分析，总结梳理解决系统性和体制机制性问题。三是巩固提高阶段（12月21日至12月31日）深入分析突出问题和重大安全隐患，形成一批制度成果。</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七、工作要求</w:t>
      </w:r>
    </w:p>
    <w:p>
      <w:pPr>
        <w:ind w:firstLine="420" w:firstLineChars="200"/>
        <w:rPr>
          <w:rFonts w:ascii="Times New Roman" w:hAnsi="Times New Roman" w:eastAsia="仿宋" w:cs="Times New Roman"/>
          <w:sz w:val="32"/>
          <w:szCs w:val="32"/>
        </w:rPr>
      </w:pPr>
      <w:r>
        <w:rPr>
          <w:rFonts w:hint="eastAsia" w:ascii="Times New Roman" w:hAnsi="Times New Roman" w:eastAsia="仿宋"/>
        </w:rPr>
        <w:t>1．</w:t>
      </w:r>
      <w:r>
        <w:rPr>
          <w:rFonts w:hint="eastAsia" w:ascii="Times New Roman" w:hAnsi="Times New Roman" w:eastAsia="仿宋" w:cs="Times New Roman"/>
          <w:sz w:val="32"/>
          <w:szCs w:val="32"/>
        </w:rPr>
        <w:t>成立工作专班。市局</w:t>
      </w:r>
      <w:r>
        <w:rPr>
          <w:rFonts w:hint="eastAsia" w:ascii="Times New Roman" w:hAnsi="Times New Roman" w:eastAsia="仿宋"/>
          <w:sz w:val="32"/>
          <w:szCs w:val="32"/>
        </w:rPr>
        <w:t>成立特种设备领域安全隐患整治工作专班，</w:t>
      </w:r>
      <w:r>
        <w:rPr>
          <w:rFonts w:hint="eastAsia" w:ascii="Times New Roman" w:hAnsi="Times New Roman" w:eastAsia="仿宋" w:cs="Times New Roman"/>
          <w:sz w:val="32"/>
          <w:szCs w:val="32"/>
        </w:rPr>
        <w:t>由张巍副局长任指挥长，承压处、机电处全体人员、稽查局、市场中心相关人员为成员，</w:t>
      </w:r>
      <w:r>
        <w:rPr>
          <w:rFonts w:hint="eastAsia" w:ascii="Times New Roman" w:hAnsi="Times New Roman" w:eastAsia="仿宋"/>
          <w:sz w:val="32"/>
          <w:szCs w:val="32"/>
        </w:rPr>
        <w:t>调度、督查、推进隐患整治工作。</w:t>
      </w:r>
      <w:r>
        <w:rPr>
          <w:rFonts w:hint="eastAsia" w:ascii="Times New Roman" w:hAnsi="Times New Roman" w:eastAsia="仿宋" w:cs="Times New Roman"/>
          <w:sz w:val="32"/>
          <w:szCs w:val="32"/>
        </w:rPr>
        <w:t>各区、县（市）局比照市局专班体制，立即成立本辖区工作专班。</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2．重点企业、设备重点检查。</w:t>
      </w:r>
      <w:r>
        <w:rPr>
          <w:rFonts w:ascii="Times New Roman" w:hAnsi="Times New Roman" w:eastAsia="仿宋" w:cs="Times New Roman"/>
          <w:sz w:val="32"/>
          <w:szCs w:val="32"/>
        </w:rPr>
        <w:t>盯住重点企业和设备每月开展一次监督检查。特别是对压力容器、气瓶、大型游乐设施、客运索道、人员密集场所电梯要加强监管</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对存在安全隐患的特种设备一律停止使用，坚决杜绝设备带病运行。</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3．强化监管系统的使用。各区、县（市）局督促企业应用隐患自查app开展隐患自查，对设备基本信息进行维护。监督检查要应用特种设备智慧监管平台数据飘红功能，提高监察效率。</w:t>
      </w:r>
    </w:p>
    <w:p>
      <w:pPr>
        <w:pStyle w:val="2"/>
        <w:numPr>
          <w:ilvl w:val="255"/>
          <w:numId w:val="0"/>
        </w:numPr>
        <w:ind w:firstLine="640" w:firstLineChars="200"/>
        <w:rPr>
          <w:rFonts w:ascii="Times New Roman" w:hAnsi="Times New Roman" w:eastAsia="仿宋"/>
        </w:rPr>
      </w:pPr>
      <w:r>
        <w:rPr>
          <w:rFonts w:hint="eastAsia" w:ascii="Times New Roman" w:hAnsi="Times New Roman" w:eastAsia="仿宋"/>
        </w:rPr>
        <w:t>4．市局开展督查督办。市局将组</w:t>
      </w:r>
      <w:r>
        <w:rPr>
          <w:rFonts w:hint="eastAsia" w:ascii="Times New Roman" w:hAnsi="Times New Roman" w:eastAsia="仿宋"/>
          <w:w w:val="90"/>
        </w:rPr>
        <w:t>成督查组，重点对各区</w:t>
      </w:r>
      <w:r>
        <w:rPr>
          <w:rFonts w:hint="eastAsia" w:ascii="Times New Roman" w:hAnsi="Times New Roman" w:eastAsia="仿宋"/>
          <w:w w:val="90"/>
          <w:lang w:eastAsia="zh-CN"/>
        </w:rPr>
        <w:t>、</w:t>
      </w:r>
      <w:r>
        <w:rPr>
          <w:rFonts w:hint="eastAsia" w:ascii="Times New Roman" w:hAnsi="Times New Roman" w:eastAsia="仿宋"/>
          <w:lang w:eastAsia="zh-CN"/>
        </w:rPr>
        <w:t>县（市）</w:t>
      </w:r>
      <w:r>
        <w:rPr>
          <w:rFonts w:hint="eastAsia" w:ascii="Times New Roman" w:hAnsi="Times New Roman" w:eastAsia="仿宋"/>
        </w:rPr>
        <w:t>气体充装单位、客运索道使用单位监督检查落实情况开展督查，对发现的问题将进行书面督办。</w:t>
      </w:r>
    </w:p>
    <w:p>
      <w:pPr>
        <w:pStyle w:val="2"/>
        <w:numPr>
          <w:ilvl w:val="255"/>
          <w:numId w:val="0"/>
        </w:numPr>
        <w:ind w:firstLine="640" w:firstLineChars="200"/>
        <w:rPr>
          <w:rFonts w:ascii="Times New Roman" w:hAnsi="Times New Roman" w:eastAsia="仿宋"/>
        </w:rPr>
      </w:pPr>
      <w:r>
        <w:rPr>
          <w:rFonts w:hint="eastAsia" w:ascii="Times New Roman" w:hAnsi="Times New Roman" w:eastAsia="仿宋"/>
        </w:rPr>
        <w:t>5．强化工作调度。隐患整治实行日报告、周调度（根据整治进展情况选择通报、会议等形式）制度，各区、县（市）局自10月25日起每日16:00前报送日报告（附件6、附件7、附件8）；分别于11月19日、12月19日报送阶段性工作总结；12月28日报送隐患整治工作总结。</w:t>
      </w:r>
    </w:p>
    <w:p>
      <w:pPr>
        <w:pStyle w:val="2"/>
        <w:numPr>
          <w:ilvl w:val="255"/>
          <w:numId w:val="0"/>
        </w:numPr>
        <w:ind w:firstLine="640" w:firstLineChars="200"/>
        <w:rPr>
          <w:rFonts w:ascii="Times New Roman" w:hAnsi="Times New Roman" w:eastAsia="仿宋"/>
        </w:rPr>
      </w:pPr>
      <w:r>
        <w:rPr>
          <w:rFonts w:hint="eastAsia" w:ascii="Times New Roman" w:hAnsi="Times New Roman" w:eastAsia="仿宋"/>
        </w:rPr>
        <w:t>联系人：陈红军（承压处）、曲星杰（机电处）</w:t>
      </w:r>
    </w:p>
    <w:p>
      <w:pPr>
        <w:spacing w:line="560" w:lineRule="exact"/>
        <w:rPr>
          <w:rFonts w:ascii="Times New Roman" w:hAnsi="Times New Roman" w:eastAsia="黑体" w:cs="Times New Roman"/>
          <w:sz w:val="32"/>
          <w:szCs w:val="32"/>
        </w:rPr>
      </w:pPr>
    </w:p>
    <w:p>
      <w:pPr>
        <w:pStyle w:val="2"/>
        <w:ind w:firstLine="640" w:firstLineChars="200"/>
        <w:rPr>
          <w:rFonts w:ascii="Times New Roman" w:hAnsi="Times New Roman" w:eastAsia="仿宋"/>
        </w:rPr>
      </w:pPr>
      <w:r>
        <w:rPr>
          <w:rFonts w:hint="eastAsia" w:ascii="Times New Roman" w:hAnsi="Times New Roman" w:eastAsia="仿宋"/>
        </w:rPr>
        <w:t>附件：1．企业法定代表人主体责任落实确认书</w:t>
      </w:r>
    </w:p>
    <w:p>
      <w:pPr>
        <w:pStyle w:val="2"/>
        <w:ind w:firstLine="1600" w:firstLineChars="500"/>
        <w:rPr>
          <w:rFonts w:ascii="Times New Roman" w:hAnsi="Times New Roman" w:eastAsia="仿宋"/>
        </w:rPr>
      </w:pPr>
      <w:r>
        <w:rPr>
          <w:rFonts w:hint="eastAsia" w:ascii="Times New Roman" w:hAnsi="Times New Roman" w:eastAsia="仿宋"/>
        </w:rPr>
        <w:t>2．特种设备安全管理负责人主体责任落实确认书</w:t>
      </w:r>
    </w:p>
    <w:p>
      <w:pPr>
        <w:pStyle w:val="2"/>
        <w:ind w:firstLine="1600" w:firstLineChars="500"/>
        <w:rPr>
          <w:rFonts w:ascii="Times New Roman" w:hAnsi="Times New Roman" w:eastAsia="仿宋"/>
        </w:rPr>
      </w:pPr>
      <w:r>
        <w:rPr>
          <w:rFonts w:hint="eastAsia" w:ascii="Times New Roman" w:hAnsi="Times New Roman" w:eastAsia="仿宋"/>
        </w:rPr>
        <w:t>3．特种设备安全管理员主体责任落实确认书</w:t>
      </w:r>
    </w:p>
    <w:p>
      <w:pPr>
        <w:pStyle w:val="2"/>
        <w:ind w:firstLine="1600" w:firstLineChars="500"/>
        <w:rPr>
          <w:rFonts w:ascii="Times New Roman" w:hAnsi="Times New Roman" w:eastAsia="仿宋"/>
        </w:rPr>
      </w:pPr>
      <w:r>
        <w:rPr>
          <w:rFonts w:hint="eastAsia" w:ascii="Times New Roman" w:hAnsi="Times New Roman" w:eastAsia="仿宋"/>
        </w:rPr>
        <w:t>4．特种设备作业人员主体责任落实确认书</w:t>
      </w:r>
    </w:p>
    <w:p>
      <w:pPr>
        <w:pStyle w:val="2"/>
        <w:ind w:firstLine="1600" w:firstLineChars="500"/>
        <w:rPr>
          <w:rFonts w:ascii="Times New Roman" w:hAnsi="Times New Roman" w:eastAsia="仿宋"/>
        </w:rPr>
      </w:pPr>
      <w:r>
        <w:rPr>
          <w:rFonts w:hint="eastAsia" w:ascii="Times New Roman" w:hAnsi="Times New Roman" w:eastAsia="仿宋"/>
        </w:rPr>
        <w:t>5．特种设备使用单位落实安全主体责任承诺书</w:t>
      </w:r>
    </w:p>
    <w:p>
      <w:pPr>
        <w:pStyle w:val="2"/>
        <w:ind w:firstLine="1600" w:firstLineChars="500"/>
        <w:jc w:val="both"/>
        <w:rPr>
          <w:rFonts w:ascii="Times New Roman" w:hAnsi="Times New Roman" w:eastAsia="仿宋"/>
        </w:rPr>
      </w:pPr>
      <w:r>
        <w:rPr>
          <w:rFonts w:hint="eastAsia" w:ascii="Times New Roman" w:hAnsi="Times New Roman" w:eastAsia="仿宋"/>
        </w:rPr>
        <w:t>6．气体充装企业监督检查情况统计表</w:t>
      </w:r>
    </w:p>
    <w:p>
      <w:pPr>
        <w:pStyle w:val="2"/>
        <w:ind w:firstLine="1600" w:firstLineChars="500"/>
        <w:jc w:val="both"/>
        <w:rPr>
          <w:rFonts w:ascii="Times New Roman" w:hAnsi="Times New Roman" w:eastAsia="仿宋"/>
        </w:rPr>
      </w:pPr>
      <w:r>
        <w:rPr>
          <w:rFonts w:hint="eastAsia" w:ascii="Times New Roman" w:hAnsi="Times New Roman" w:eastAsia="仿宋"/>
        </w:rPr>
        <w:t>7．气体充装企业隐患自查情况统计表</w:t>
      </w:r>
    </w:p>
    <w:p>
      <w:pPr>
        <w:pStyle w:val="2"/>
        <w:ind w:firstLine="1600" w:firstLineChars="500"/>
        <w:jc w:val="both"/>
        <w:rPr>
          <w:rFonts w:ascii="Times New Roman" w:hAnsi="Times New Roman" w:eastAsia="仿宋"/>
        </w:rPr>
      </w:pPr>
      <w:r>
        <w:rPr>
          <w:rFonts w:hint="eastAsia" w:ascii="Times New Roman" w:hAnsi="Times New Roman" w:eastAsia="仿宋"/>
        </w:rPr>
        <w:t>8．特种设备安全隐患专项整治情况汇总表</w:t>
      </w:r>
    </w:p>
    <w:p>
      <w:pPr>
        <w:pStyle w:val="2"/>
        <w:ind w:firstLine="1600" w:firstLineChars="500"/>
        <w:jc w:val="both"/>
        <w:rPr>
          <w:rFonts w:ascii="Times New Roman" w:hAnsi="Times New Roman" w:eastAsia="仿宋" w:cs="Times New Roman"/>
          <w:kern w:val="0"/>
          <w:sz w:val="32"/>
          <w:szCs w:val="32"/>
        </w:rPr>
      </w:pPr>
      <w:r>
        <w:rPr>
          <w:rFonts w:ascii="Times New Roman" w:hAnsi="Times New Roman" w:eastAsia="仿宋"/>
        </w:rP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2"/>
        <w:rPr>
          <w:rFonts w:ascii="Times New Roman" w:hAnsi="Times New Roman"/>
        </w:rPr>
      </w:pPr>
    </w:p>
    <w:p>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44"/>
          <w:szCs w:val="44"/>
        </w:rPr>
        <w:t>企业法定代表人主体责任落实确认书</w:t>
      </w:r>
    </w:p>
    <w:p>
      <w:pPr>
        <w:rPr>
          <w:rFonts w:ascii="Times New Roman" w:hAnsi="Times New Roman" w:cs="Times New Roman"/>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法定代表人应对本单位特种设备安全负总责，是公司安全生产第一责任人，对本单位特种设备安全生产工作负有下列职责：</w:t>
      </w:r>
    </w:p>
    <w:tbl>
      <w:tblPr>
        <w:tblStyle w:val="7"/>
        <w:tblpPr w:leftFromText="180" w:rightFromText="180" w:vertAnchor="text" w:horzAnchor="margin" w:tblpY="238"/>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0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序号</w:t>
            </w:r>
          </w:p>
        </w:tc>
        <w:tc>
          <w:tcPr>
            <w:tcW w:w="7080" w:type="dxa"/>
          </w:tcPr>
          <w:p>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职责要求</w:t>
            </w:r>
          </w:p>
        </w:tc>
        <w:tc>
          <w:tcPr>
            <w:tcW w:w="1470" w:type="dxa"/>
          </w:tcPr>
          <w:p>
            <w:pPr>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按照规定设置特种设备安全管理机构、配备特种设备安全管理人员，建立、健全本单位特种设备安全生产责任制；</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组织制定本单位特种设备安全生产规章制度和操作规程</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督促检查本单位安全生产责任制、管理规章制度、操作规程的落实，做到分工明确、责任到人、人员到位、各尽其责；</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组织制定并实施本单位特种设备安全生产教育和培训计划；</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5</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保证本单位特种设备安全生产投入的有效实施；</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督促、检查本单位的特种设备安全生产工作，及时消除生产安全事故隐患；</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7</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组织制定并实施本单位的特种设备安全事故应急救援预案；</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8</w:t>
            </w:r>
          </w:p>
        </w:tc>
        <w:tc>
          <w:tcPr>
            <w:tcW w:w="7080" w:type="dxa"/>
            <w:vAlign w:val="center"/>
          </w:tcPr>
          <w:p>
            <w:pPr>
              <w:spacing w:line="360" w:lineRule="exact"/>
              <w:rPr>
                <w:rFonts w:ascii="Times New Roman" w:hAnsi="Times New Roman" w:eastAsia="宋体" w:cs="Times New Roman"/>
                <w:kern w:val="0"/>
                <w:sz w:val="28"/>
                <w:szCs w:val="28"/>
              </w:rPr>
            </w:pPr>
            <w:r>
              <w:rPr>
                <w:rFonts w:ascii="Times New Roman" w:hAnsi="Times New Roman" w:eastAsia="仿宋" w:cs="Times New Roman"/>
                <w:kern w:val="0"/>
                <w:sz w:val="28"/>
                <w:szCs w:val="28"/>
              </w:rPr>
              <w:t>及时、如实报告生产安全事故。</w:t>
            </w:r>
          </w:p>
        </w:tc>
        <w:tc>
          <w:tcPr>
            <w:tcW w:w="1470" w:type="dxa"/>
          </w:tcPr>
          <w:p>
            <w:pP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9375" w:type="dxa"/>
            <w:gridSpan w:val="3"/>
            <w:vAlign w:val="center"/>
          </w:tcPr>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我已认真阅读知悉上述内容，明确自身特种安全主体责任。</w:t>
            </w:r>
          </w:p>
          <w:p>
            <w:pPr>
              <w:ind w:firstLine="640" w:firstLineChars="200"/>
              <w:rPr>
                <w:rFonts w:ascii="Times New Roman" w:hAnsi="Times New Roman" w:eastAsia="仿宋" w:cs="Times New Roman"/>
                <w:kern w:val="0"/>
                <w:sz w:val="32"/>
                <w:szCs w:val="32"/>
              </w:rPr>
            </w:pPr>
          </w:p>
          <w:p>
            <w:pPr>
              <w:jc w:val="center"/>
              <w:rPr>
                <w:rFonts w:ascii="Times New Roman" w:hAnsi="Times New Roman" w:eastAsia="宋体" w:cs="Times New Roman"/>
                <w:kern w:val="0"/>
                <w:sz w:val="28"/>
                <w:szCs w:val="28"/>
              </w:rPr>
            </w:pPr>
            <w:r>
              <w:rPr>
                <w:rFonts w:ascii="Times New Roman" w:hAnsi="Times New Roman" w:eastAsia="仿宋" w:cs="Times New Roman"/>
                <w:kern w:val="0"/>
                <w:sz w:val="32"/>
                <w:szCs w:val="32"/>
              </w:rPr>
              <w:t>法定代表人：（签字）                 年    月    日</w:t>
            </w:r>
          </w:p>
        </w:tc>
      </w:tr>
    </w:tbl>
    <w:p>
      <w:pPr>
        <w:rPr>
          <w:rFonts w:ascii="Times New Roman" w:hAnsi="Times New Roman" w:eastAsia="仿宋" w:cs="Times New Roman"/>
          <w:sz w:val="32"/>
          <w:szCs w:val="32"/>
        </w:rPr>
      </w:pPr>
    </w:p>
    <w:p>
      <w:pPr>
        <w:pStyle w:val="2"/>
      </w:pPr>
      <w: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44"/>
          <w:szCs w:val="44"/>
        </w:rPr>
        <w:t>特种设备安全管理负责人主体责任落实确认书</w:t>
      </w:r>
    </w:p>
    <w:p>
      <w:pPr>
        <w:spacing w:line="560" w:lineRule="exact"/>
        <w:rPr>
          <w:rFonts w:ascii="Times New Roman" w:hAnsi="Times New Roman"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特种设备安全管理负责人是指使用单位最高管理层中主管本单位特种设备使用安全管理的人员。特种设备安全管理主要职责如下：</w:t>
      </w:r>
    </w:p>
    <w:tbl>
      <w:tblPr>
        <w:tblStyle w:val="7"/>
        <w:tblpPr w:leftFromText="180" w:rightFromText="180" w:vertAnchor="text" w:horzAnchor="page" w:tblpXSpec="center" w:tblpY="371"/>
        <w:tblOverlap w:val="never"/>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0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序号</w:t>
            </w:r>
          </w:p>
        </w:tc>
        <w:tc>
          <w:tcPr>
            <w:tcW w:w="7080" w:type="dxa"/>
          </w:tcPr>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职责要求</w:t>
            </w:r>
          </w:p>
        </w:tc>
        <w:tc>
          <w:tcPr>
            <w:tcW w:w="1470" w:type="dxa"/>
          </w:tcPr>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黑体" w:cs="Times New Roman"/>
                <w:kern w:val="0"/>
                <w:sz w:val="28"/>
                <w:szCs w:val="28"/>
              </w:rPr>
              <w:t>坚决落实严禁车对车充装、严禁充装不合格气瓶、带压维修、使用淘汰或报废设备、使用存在安全隐患设备、不合格人员上岗操作等禁止性行为；（此条签字）</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协助主要负责人履行本单位特种设备安全的领导职责，确保本单位特种设备的安全使用；</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宣传、贯彻《中华人民共和国特种设备安全法》以及有关法律、法规、规章和安全技术规范；</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组织制定本单位特种设备安全管理制度，落实特种设备安全管理机构设置、安全管理员配备；</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5</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组织制定特种设备事故应急专项预案，并且定期组织演练；</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对本单位特种设备安全管理工作实施情况进行检查；</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7</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组织进行隐患排查，并且提出处理意见；</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8</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当安全管理员报告特种设备存在事故隐患应当停止使用时，立即作出停止使用特种设备的决定，并且及时报告本单位主要负责人。</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9</w:t>
            </w:r>
          </w:p>
        </w:tc>
        <w:tc>
          <w:tcPr>
            <w:tcW w:w="7080" w:type="dxa"/>
            <w:vAlign w:val="center"/>
          </w:tcPr>
          <w:p>
            <w:pPr>
              <w:spacing w:line="36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督促移动式压力容器严禁车对车充装等禁止性规定的执行。</w:t>
            </w:r>
          </w:p>
        </w:tc>
        <w:tc>
          <w:tcPr>
            <w:tcW w:w="1470" w:type="dxa"/>
          </w:tcPr>
          <w:p>
            <w:pPr>
              <w:spacing w:line="3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75" w:type="dxa"/>
            <w:gridSpan w:val="3"/>
            <w:vAlign w:val="center"/>
          </w:tcPr>
          <w:p>
            <w:pPr>
              <w:rPr>
                <w:rFonts w:ascii="Times New Roman" w:hAnsi="Times New Roman" w:eastAsia="仿宋" w:cs="Times New Roman"/>
                <w:kern w:val="0"/>
                <w:sz w:val="32"/>
                <w:szCs w:val="32"/>
              </w:rPr>
            </w:pPr>
            <w:r>
              <w:rPr>
                <w:rFonts w:ascii="Times New Roman" w:hAnsi="Times New Roman" w:eastAsia="仿宋" w:cs="Times New Roman"/>
                <w:kern w:val="0"/>
                <w:sz w:val="32"/>
                <w:szCs w:val="32"/>
              </w:rPr>
              <w:t>我已认真阅读知悉上述内容，明确自身特种安全主体责任。</w:t>
            </w:r>
          </w:p>
          <w:p>
            <w:pPr>
              <w:spacing w:line="240" w:lineRule="exact"/>
              <w:rPr>
                <w:rFonts w:ascii="Times New Roman" w:hAnsi="Times New Roman" w:eastAsia="仿宋" w:cs="Times New Roman"/>
                <w:kern w:val="0"/>
                <w:sz w:val="32"/>
                <w:szCs w:val="32"/>
              </w:rPr>
            </w:pPr>
          </w:p>
          <w:p>
            <w:pPr>
              <w:spacing w:line="240" w:lineRule="exact"/>
              <w:rPr>
                <w:rFonts w:ascii="Times New Roman" w:hAnsi="Times New Roman" w:eastAsia="仿宋" w:cs="Times New Roman"/>
                <w:kern w:val="0"/>
                <w:sz w:val="32"/>
                <w:szCs w:val="32"/>
              </w:rPr>
            </w:pP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安全管理负责人：（签字）            年   月   日</w:t>
            </w:r>
          </w:p>
        </w:tc>
      </w:tr>
    </w:tbl>
    <w:p>
      <w:pPr>
        <w:pStyle w:val="2"/>
      </w:pPr>
      <w: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44"/>
          <w:szCs w:val="44"/>
        </w:rPr>
        <w:t>特种设备安全管理员主体责任落实确认书</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特种设备安全管理员是指具体负责特种设备使用安全管理的人员。安全管理员的主要职责如下：</w:t>
      </w:r>
    </w:p>
    <w:tbl>
      <w:tblPr>
        <w:tblStyle w:val="7"/>
        <w:tblpPr w:leftFromText="180" w:rightFromText="180" w:vertAnchor="text" w:horzAnchor="page" w:tblpXSpec="center" w:tblpY="371"/>
        <w:tblOverlap w:val="never"/>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0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序号</w:t>
            </w:r>
          </w:p>
        </w:tc>
        <w:tc>
          <w:tcPr>
            <w:tcW w:w="7080" w:type="dxa"/>
          </w:tcPr>
          <w:p>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职责要求</w:t>
            </w:r>
          </w:p>
        </w:tc>
        <w:tc>
          <w:tcPr>
            <w:tcW w:w="1470" w:type="dxa"/>
          </w:tcPr>
          <w:p>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黑体" w:cs="Times New Roman"/>
                <w:kern w:val="0"/>
                <w:sz w:val="28"/>
                <w:szCs w:val="28"/>
              </w:rPr>
              <w:t>坚决落实严禁车对车充装、严禁充装不合格气瓶、带压维修、使用淘汰或报废设备、使用存在安全隐患设备、不合格人员上岗操作等禁止性行为；（此条签字）</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组织建立特种设备安全技术档案；</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办理特种设备使用登记；</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组织制定特种设备操作规程；</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5</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组织开展特种设备安全教育和技能培训；</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组织开展特种设备定期自行检查；</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7</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编制特种设备定期检验计划，督促落实定期检验和隐患治理工作；</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8</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按照规定报告特种设备事故，参加特种设备事故救援，协助进行事故调查和善后处理；</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9</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发现特种设备事故隐患，立即进行处理，情况紧急时，可以决定停止使用特种设备，并且及时报告本单位安全管理负责人；</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4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10</w:t>
            </w:r>
          </w:p>
        </w:tc>
        <w:tc>
          <w:tcPr>
            <w:tcW w:w="7080" w:type="dxa"/>
            <w:vAlign w:val="center"/>
          </w:tcPr>
          <w:p>
            <w:pPr>
              <w:spacing w:line="400" w:lineRule="exact"/>
              <w:rPr>
                <w:rFonts w:ascii="Times New Roman" w:hAnsi="Times New Roman" w:eastAsia="仿宋" w:cs="Times New Roman"/>
                <w:kern w:val="0"/>
                <w:sz w:val="28"/>
                <w:szCs w:val="28"/>
              </w:rPr>
            </w:pPr>
            <w:r>
              <w:rPr>
                <w:rFonts w:ascii="Times New Roman" w:hAnsi="Times New Roman" w:eastAsia="仿宋" w:cs="Times New Roman"/>
                <w:kern w:val="0"/>
                <w:sz w:val="28"/>
                <w:szCs w:val="28"/>
              </w:rPr>
              <w:t>纠正和制止特种设备作业人员的违章行为。落实移动式压力容器严禁车对车充装、严禁充装不合格气瓶、等禁止性规定的执行。</w:t>
            </w:r>
          </w:p>
        </w:tc>
        <w:tc>
          <w:tcPr>
            <w:tcW w:w="1470" w:type="dxa"/>
          </w:tcPr>
          <w:p>
            <w:pPr>
              <w:spacing w:line="4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5" w:type="dxa"/>
            <w:gridSpan w:val="3"/>
            <w:vAlign w:val="center"/>
          </w:tcPr>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我已认真阅读知悉上述内容，明确自身特种安全主体责任。</w:t>
            </w:r>
          </w:p>
          <w:p>
            <w:pPr>
              <w:rPr>
                <w:rFonts w:ascii="Times New Roman" w:hAnsi="Times New Roman" w:eastAsia="仿宋" w:cs="Times New Roman"/>
                <w:kern w:val="0"/>
                <w:sz w:val="32"/>
                <w:szCs w:val="32"/>
              </w:rPr>
            </w:pPr>
          </w:p>
          <w:p>
            <w:pPr>
              <w:ind w:firstLine="1280" w:firstLineChars="400"/>
              <w:rPr>
                <w:rFonts w:ascii="Times New Roman" w:hAnsi="Times New Roman" w:eastAsia="宋体" w:cs="Times New Roman"/>
                <w:kern w:val="0"/>
                <w:sz w:val="28"/>
                <w:szCs w:val="28"/>
              </w:rPr>
            </w:pPr>
            <w:r>
              <w:rPr>
                <w:rFonts w:ascii="Times New Roman" w:hAnsi="Times New Roman" w:eastAsia="仿宋" w:cs="Times New Roman"/>
                <w:kern w:val="0"/>
                <w:sz w:val="32"/>
                <w:szCs w:val="32"/>
              </w:rPr>
              <w:t xml:space="preserve">安全管理员：（签字）           年    月    日                           </w:t>
            </w:r>
          </w:p>
        </w:tc>
      </w:tr>
    </w:tbl>
    <w:p>
      <w:pPr>
        <w:rPr>
          <w:rFonts w:ascii="Times New Roman" w:hAnsi="Times New Roman" w:cs="Times New Roman"/>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特种设备作业人员主体责任落实确认书</w:t>
      </w:r>
    </w:p>
    <w:tbl>
      <w:tblPr>
        <w:tblStyle w:val="7"/>
        <w:tblpPr w:leftFromText="180" w:rightFromText="180" w:vertAnchor="text" w:horzAnchor="margin" w:tblpY="1491"/>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0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4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序号</w:t>
            </w:r>
          </w:p>
        </w:tc>
        <w:tc>
          <w:tcPr>
            <w:tcW w:w="7080" w:type="dxa"/>
          </w:tcPr>
          <w:p>
            <w:pPr>
              <w:spacing w:line="4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职责要求</w:t>
            </w:r>
          </w:p>
        </w:tc>
        <w:tc>
          <w:tcPr>
            <w:tcW w:w="1470" w:type="dxa"/>
          </w:tcPr>
          <w:p>
            <w:pPr>
              <w:spacing w:line="44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7080" w:type="dxa"/>
            <w:vAlign w:val="center"/>
          </w:tcPr>
          <w:p>
            <w:pPr>
              <w:spacing w:line="440" w:lineRule="exact"/>
              <w:rPr>
                <w:rFonts w:ascii="Times New Roman" w:hAnsi="Times New Roman" w:eastAsia="仿宋" w:cs="Times New Roman"/>
                <w:kern w:val="0"/>
                <w:sz w:val="32"/>
                <w:szCs w:val="32"/>
              </w:rPr>
            </w:pPr>
            <w:r>
              <w:rPr>
                <w:rFonts w:ascii="Times New Roman" w:hAnsi="Times New Roman" w:eastAsia="黑体" w:cs="Times New Roman"/>
                <w:kern w:val="0"/>
                <w:sz w:val="28"/>
                <w:szCs w:val="28"/>
              </w:rPr>
              <w:t>坚决落实严禁车对车充装、严禁充装不合格气瓶、带压维修、使用淘汰或报废设备、使用存在安全隐患设备、不合格人员上岗操作等禁止性行为；（此条签字）</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严格执行特种设备有关安全管理制度，并且按照操作规程进行操作；</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按照规定填写作业、交接班等记录；</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参加安全教育和技能培训；</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5</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进行经常性维护保养，对发现的异常情况及时处理，并且作出记录；</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作业过程中发现事故隐患或者其他不安全因素，应当立即采取紧急措施，并且按照规定的程序向特种设备安全管理人员和单位有关负责人报告；</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7</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参加应急演练，掌握相应的应急处置技能。严格执行严禁车对车充气的禁止性规定。</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44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8</w:t>
            </w:r>
          </w:p>
        </w:tc>
        <w:tc>
          <w:tcPr>
            <w:tcW w:w="7080" w:type="dxa"/>
            <w:vAlign w:val="center"/>
          </w:tcPr>
          <w:p>
            <w:pPr>
              <w:spacing w:line="440" w:lineRule="exact"/>
              <w:rPr>
                <w:rFonts w:ascii="Times New Roman" w:hAnsi="Times New Roman" w:eastAsia="仿宋" w:cs="Times New Roman"/>
                <w:kern w:val="0"/>
                <w:sz w:val="28"/>
                <w:szCs w:val="28"/>
              </w:rPr>
            </w:pPr>
            <w:r>
              <w:rPr>
                <w:rFonts w:ascii="Times New Roman" w:hAnsi="Times New Roman" w:eastAsia="仿宋" w:cs="Times New Roman"/>
                <w:kern w:val="0"/>
                <w:sz w:val="32"/>
                <w:szCs w:val="32"/>
              </w:rPr>
              <w:t>掌握移动式压力容器安全知识，遵守移动式压力容器严禁车对车充装、</w:t>
            </w:r>
            <w:r>
              <w:rPr>
                <w:rFonts w:ascii="Times New Roman" w:hAnsi="Times New Roman" w:eastAsia="仿宋" w:cs="Times New Roman"/>
                <w:kern w:val="0"/>
                <w:sz w:val="28"/>
                <w:szCs w:val="28"/>
              </w:rPr>
              <w:t>、严禁充装不合格气瓶、</w:t>
            </w:r>
            <w:r>
              <w:rPr>
                <w:rFonts w:ascii="Times New Roman" w:hAnsi="Times New Roman" w:eastAsia="仿宋" w:cs="Times New Roman"/>
                <w:kern w:val="0"/>
                <w:sz w:val="32"/>
                <w:szCs w:val="32"/>
              </w:rPr>
              <w:t>等禁止性规定的执行。</w:t>
            </w:r>
          </w:p>
        </w:tc>
        <w:tc>
          <w:tcPr>
            <w:tcW w:w="1470" w:type="dxa"/>
          </w:tcPr>
          <w:p>
            <w:pPr>
              <w:spacing w:line="44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9375" w:type="dxa"/>
            <w:gridSpan w:val="3"/>
            <w:vAlign w:val="center"/>
          </w:tcPr>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我已认真阅读知悉上述内容，明确自身特种安全主体责任。</w:t>
            </w:r>
          </w:p>
          <w:p>
            <w:pPr>
              <w:rPr>
                <w:rFonts w:ascii="Times New Roman" w:hAnsi="Times New Roman" w:eastAsia="仿宋" w:cs="Times New Roman"/>
                <w:kern w:val="0"/>
                <w:sz w:val="32"/>
                <w:szCs w:val="32"/>
              </w:rPr>
            </w:pPr>
          </w:p>
          <w:p>
            <w:pPr>
              <w:jc w:val="center"/>
              <w:rPr>
                <w:rFonts w:ascii="Times New Roman" w:hAnsi="Times New Roman" w:eastAsia="宋体" w:cs="Times New Roman"/>
                <w:kern w:val="0"/>
                <w:sz w:val="28"/>
                <w:szCs w:val="28"/>
              </w:rPr>
            </w:pPr>
            <w:r>
              <w:rPr>
                <w:rFonts w:ascii="Times New Roman" w:hAnsi="Times New Roman" w:eastAsia="仿宋" w:cs="Times New Roman"/>
                <w:kern w:val="0"/>
                <w:sz w:val="32"/>
                <w:szCs w:val="32"/>
              </w:rPr>
              <w:t>作业人员：（签字）          年    月    日</w:t>
            </w:r>
          </w:p>
        </w:tc>
      </w:tr>
    </w:tbl>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特种设备作业人员应当取得相应的特种设备作业人员资格证书，主要职责如下：</w:t>
      </w:r>
    </w:p>
    <w:p>
      <w:pPr>
        <w:pStyle w:val="2"/>
      </w:pPr>
      <w:r>
        <w:br w:type="page"/>
      </w:r>
    </w:p>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附件5：</w:t>
      </w:r>
    </w:p>
    <w:p>
      <w:pPr>
        <w:snapToGrid w:val="0"/>
        <w:spacing w:line="560" w:lineRule="exact"/>
        <w:jc w:val="center"/>
        <w:rPr>
          <w:rFonts w:ascii="Times New Roman" w:hAnsi="Times New Roman" w:eastAsia="方正小标宋简体" w:cs="Times New Roman"/>
          <w:sz w:val="44"/>
          <w:szCs w:val="44"/>
        </w:rPr>
      </w:pPr>
    </w:p>
    <w:p>
      <w:pPr>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特种设备使用单位落实安全主体责任</w:t>
      </w:r>
    </w:p>
    <w:p>
      <w:pPr>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承诺书</w:t>
      </w:r>
    </w:p>
    <w:p>
      <w:pPr>
        <w:spacing w:line="560" w:lineRule="exact"/>
        <w:rPr>
          <w:rFonts w:ascii="Times New Roman" w:hAnsi="Times New Roman" w:eastAsia="仿宋" w:cs="Times New Roman"/>
          <w:b w:val="0"/>
          <w:bCs w:val="0"/>
          <w:kern w:val="0"/>
          <w:sz w:val="32"/>
          <w:szCs w:val="32"/>
        </w:rPr>
      </w:pPr>
    </w:p>
    <w:p>
      <w:pPr>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为预防特种设备事故发生，确保设备安全运行，保障人民群众生命财产安全，我（单位）作为特种设备安全第一责任人，按照《中华人民共和国特种设备安全法》要求，就应承担的安全责任和应履行的义务，特做出如下承诺：</w:t>
      </w:r>
    </w:p>
    <w:p>
      <w:pPr>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一、自觉遵守相关法律法规，保证本人（单位）运营使用的特种设备安全运行，保障人民群众生命财产安全；</w:t>
      </w:r>
    </w:p>
    <w:p>
      <w:pPr>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二、按规定设置安全管理机构或配备专兼职安全管理人员，对安全管理人员和作业人员进行必要的安全教育和技能培训；</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三、安全管理人员和作业人员按照国家有关规定取得相应资格后持证上岗，并严格执行安全技术规范和管理制度；</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四、建立健全特种设备安全管理制度和岗位安全责任制度，按照规定内容建立特种设备安全技术档案；</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五、设备按规定进行定期检验，在检验合格有效期届满前一个月向检验机构提出定期检验要求；</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六、对所使用的特种设备，进行经常性维护和定期自行检查，对安全附件和安全保护装置进行定期校验、检修，并做出记录；</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七、设备出现故障或者发生异常情况，立即停止使用，对其进行全面检查，消除事故隐患后方可继续使用；</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八、设备的安全使用说明、安全注意事项和警示标志置于易于为人注意的显著位置；</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九、制定事故应急专项预案，并定期进行应急演练，发生事故后积极组织抢救，保护事故现场和有关证据，及时向有关部门报告；</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十、严格执行移动式压力容器充装禁止性规定。禁止使用国家明令淘汰或报废的特种设备；禁止“车对车”进行充装；禁止使用存在安全隐患的设备；禁止培训考试成绩不合格的人员上岗操作。</w:t>
      </w: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十一、主动接受并配合有关部门对本人（单位）实施的安全监督检查，积极响应社会监督和举报投诉。</w:t>
      </w:r>
    </w:p>
    <w:p>
      <w:pPr>
        <w:ind w:firstLine="640" w:firstLineChars="200"/>
        <w:rPr>
          <w:rFonts w:ascii="Times New Roman" w:hAnsi="Times New Roman" w:eastAsia="仿宋" w:cs="Times New Roman"/>
          <w:kern w:val="0"/>
          <w:sz w:val="32"/>
          <w:szCs w:val="32"/>
        </w:rPr>
      </w:pPr>
    </w:p>
    <w:p>
      <w:pPr>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以上内容已由我单位法定代表人和全体员工确认，如有违反，愿承担一切法律责任。</w:t>
      </w:r>
    </w:p>
    <w:p>
      <w:pPr>
        <w:rPr>
          <w:rFonts w:ascii="Times New Roman" w:hAnsi="Times New Roman" w:eastAsia="仿宋" w:cs="Times New Roman"/>
          <w:sz w:val="32"/>
          <w:szCs w:val="32"/>
        </w:rPr>
      </w:pPr>
    </w:p>
    <w:p>
      <w:pPr>
        <w:ind w:right="64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承诺单位（公章）：</w:t>
      </w:r>
    </w:p>
    <w:p>
      <w:pPr>
        <w:ind w:right="64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ind w:right="64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承诺人：（法人</w:t>
      </w:r>
      <w:r>
        <w:rPr>
          <w:rFonts w:hint="eastAsia" w:ascii="Times New Roman" w:hAnsi="Times New Roman" w:eastAsia="仿宋" w:cs="Times New Roman"/>
          <w:sz w:val="32"/>
          <w:szCs w:val="32"/>
        </w:rPr>
        <w:t>代表</w:t>
      </w:r>
      <w:r>
        <w:rPr>
          <w:rFonts w:ascii="Times New Roman" w:hAnsi="Times New Roman" w:eastAsia="仿宋" w:cs="Times New Roman"/>
          <w:sz w:val="32"/>
          <w:szCs w:val="32"/>
        </w:rPr>
        <w:t>签名）</w:t>
      </w:r>
    </w:p>
    <w:p>
      <w:pPr>
        <w:ind w:right="640" w:firstLine="4160" w:firstLineChars="1300"/>
        <w:rPr>
          <w:rFonts w:ascii="Times New Roman" w:hAnsi="Times New Roman" w:eastAsia="仿宋" w:cs="Times New Roman"/>
          <w:sz w:val="32"/>
          <w:szCs w:val="32"/>
        </w:rPr>
      </w:pPr>
    </w:p>
    <w:p>
      <w:pPr>
        <w:ind w:firstLine="3840" w:firstLineChars="1200"/>
        <w:rPr>
          <w:rFonts w:ascii="Times New Roman" w:hAnsi="Times New Roman" w:cs="Times New Roman"/>
        </w:rPr>
      </w:pPr>
      <w:r>
        <w:rPr>
          <w:rFonts w:ascii="Times New Roman" w:hAnsi="Times New Roman" w:eastAsia="仿宋" w:cs="Times New Roman"/>
          <w:sz w:val="32"/>
          <w:szCs w:val="32"/>
        </w:rPr>
        <w:t>2021年   月   日</w:t>
      </w:r>
    </w:p>
    <w:p/>
    <w:p>
      <w:pPr>
        <w:pStyle w:val="2"/>
      </w:pPr>
    </w:p>
    <w:p/>
    <w:p>
      <w:pPr>
        <w:pStyle w:val="2"/>
        <w:sectPr>
          <w:footerReference r:id="rId3" w:type="default"/>
          <w:pgSz w:w="11906" w:h="16838"/>
          <w:pgMar w:top="1440" w:right="1474" w:bottom="1440" w:left="1531" w:header="851" w:footer="992" w:gutter="0"/>
          <w:pgNumType w:fmt="numberInDash"/>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附件6：</w:t>
      </w:r>
    </w:p>
    <w:p>
      <w:pPr>
        <w:jc w:val="center"/>
        <w:rPr>
          <w:rFonts w:ascii="Times New Roman" w:hAnsi="Times New Roman" w:eastAsia="仿宋" w:cs="Times New Roman"/>
          <w:sz w:val="32"/>
          <w:szCs w:val="32"/>
        </w:rPr>
      </w:pPr>
      <w:r>
        <w:rPr>
          <w:rFonts w:hint="eastAsia" w:ascii="方正小标宋简体" w:hAnsi="方正小标宋简体" w:eastAsia="方正小标宋简体" w:cs="方正小标宋简体"/>
          <w:sz w:val="44"/>
          <w:szCs w:val="44"/>
        </w:rPr>
        <w:t>气体充装企业监督检查情况统计表</w:t>
      </w:r>
    </w:p>
    <w:p>
      <w:pPr>
        <w:widowControl/>
        <w:jc w:val="left"/>
        <w:rPr>
          <w:rFonts w:ascii="Times New Roman" w:hAnsi="Times New Roman" w:eastAsia="仿宋" w:cs="Times New Roman"/>
          <w:kern w:val="0"/>
          <w:sz w:val="32"/>
          <w:szCs w:val="32"/>
        </w:rPr>
      </w:pPr>
    </w:p>
    <w:p>
      <w:pPr>
        <w:widowControl/>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区（县）：                     填报人：                     填报日期：</w:t>
      </w:r>
    </w:p>
    <w:tbl>
      <w:tblPr>
        <w:tblStyle w:val="7"/>
        <w:tblpPr w:leftFromText="180" w:rightFromText="180" w:vertAnchor="text" w:horzAnchor="margin" w:tblpXSpec="center" w:tblpY="163"/>
        <w:tblOverlap w:val="never"/>
        <w:tblW w:w="13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1378"/>
        <w:gridCol w:w="1424"/>
        <w:gridCol w:w="1712"/>
        <w:gridCol w:w="1785"/>
        <w:gridCol w:w="1726"/>
        <w:gridCol w:w="169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00" w:type="dxa"/>
            <w:vMerge w:val="restart"/>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气体充装单位名称</w:t>
            </w:r>
          </w:p>
        </w:tc>
        <w:tc>
          <w:tcPr>
            <w:tcW w:w="1378" w:type="dxa"/>
            <w:vMerge w:val="restart"/>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开展监督检查次数</w:t>
            </w:r>
          </w:p>
        </w:tc>
        <w:tc>
          <w:tcPr>
            <w:tcW w:w="1424" w:type="dxa"/>
            <w:vMerge w:val="restart"/>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抽查设备（台）/管道（米）</w:t>
            </w:r>
          </w:p>
        </w:tc>
        <w:tc>
          <w:tcPr>
            <w:tcW w:w="3497" w:type="dxa"/>
            <w:gridSpan w:val="2"/>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发现问题</w:t>
            </w:r>
          </w:p>
        </w:tc>
        <w:tc>
          <w:tcPr>
            <w:tcW w:w="1726" w:type="dxa"/>
            <w:vMerge w:val="restart"/>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较大以上隐患情况</w:t>
            </w:r>
          </w:p>
        </w:tc>
        <w:tc>
          <w:tcPr>
            <w:tcW w:w="1695" w:type="dxa"/>
            <w:vMerge w:val="restart"/>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隐患整改情况</w:t>
            </w:r>
          </w:p>
        </w:tc>
        <w:tc>
          <w:tcPr>
            <w:tcW w:w="1329" w:type="dxa"/>
            <w:vMerge w:val="restart"/>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立案查处情况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0" w:type="dxa"/>
            <w:vMerge w:val="continue"/>
            <w:vAlign w:val="center"/>
          </w:tcPr>
          <w:p>
            <w:pPr>
              <w:spacing w:line="300" w:lineRule="exact"/>
              <w:jc w:val="center"/>
              <w:rPr>
                <w:rFonts w:eastAsia="宋体" w:asciiTheme="minorEastAsia" w:hAnsiTheme="minorEastAsia" w:cstheme="minorEastAsia"/>
                <w:kern w:val="0"/>
                <w:sz w:val="28"/>
                <w:szCs w:val="28"/>
              </w:rPr>
            </w:pPr>
          </w:p>
        </w:tc>
        <w:tc>
          <w:tcPr>
            <w:tcW w:w="1378" w:type="dxa"/>
            <w:vMerge w:val="continue"/>
            <w:vAlign w:val="center"/>
          </w:tcPr>
          <w:p>
            <w:pPr>
              <w:spacing w:line="300" w:lineRule="exact"/>
              <w:jc w:val="center"/>
              <w:rPr>
                <w:rFonts w:eastAsia="宋体" w:asciiTheme="minorEastAsia" w:hAnsiTheme="minorEastAsia" w:cstheme="minorEastAsia"/>
                <w:kern w:val="0"/>
                <w:sz w:val="28"/>
                <w:szCs w:val="28"/>
              </w:rPr>
            </w:pPr>
          </w:p>
        </w:tc>
        <w:tc>
          <w:tcPr>
            <w:tcW w:w="1424" w:type="dxa"/>
            <w:vMerge w:val="continue"/>
            <w:vAlign w:val="center"/>
          </w:tcPr>
          <w:p>
            <w:pPr>
              <w:spacing w:line="300" w:lineRule="exact"/>
              <w:jc w:val="center"/>
              <w:rPr>
                <w:rFonts w:eastAsia="宋体" w:asciiTheme="minorEastAsia" w:hAnsiTheme="minorEastAsia" w:cstheme="minorEastAsia"/>
                <w:kern w:val="0"/>
                <w:sz w:val="28"/>
                <w:szCs w:val="28"/>
              </w:rPr>
            </w:pPr>
          </w:p>
        </w:tc>
        <w:tc>
          <w:tcPr>
            <w:tcW w:w="1712" w:type="dxa"/>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安全管理类（个）</w:t>
            </w:r>
          </w:p>
        </w:tc>
        <w:tc>
          <w:tcPr>
            <w:tcW w:w="1785" w:type="dxa"/>
            <w:vAlign w:val="center"/>
          </w:tcPr>
          <w:p>
            <w:pPr>
              <w:spacing w:line="300" w:lineRule="exact"/>
              <w:jc w:val="center"/>
              <w:rPr>
                <w:rFonts w:eastAsia="宋体" w:asciiTheme="minorEastAsia" w:hAnsiTheme="minorEastAsia" w:cstheme="minorEastAsia"/>
                <w:kern w:val="0"/>
                <w:sz w:val="28"/>
                <w:szCs w:val="28"/>
              </w:rPr>
            </w:pPr>
            <w:r>
              <w:rPr>
                <w:rFonts w:hint="eastAsia" w:eastAsia="宋体" w:asciiTheme="minorEastAsia" w:hAnsiTheme="minorEastAsia" w:cstheme="minorEastAsia"/>
                <w:kern w:val="0"/>
                <w:sz w:val="28"/>
                <w:szCs w:val="28"/>
              </w:rPr>
              <w:t>设备类（个）</w:t>
            </w:r>
          </w:p>
        </w:tc>
        <w:tc>
          <w:tcPr>
            <w:tcW w:w="1726" w:type="dxa"/>
            <w:vMerge w:val="continue"/>
            <w:vAlign w:val="center"/>
          </w:tcPr>
          <w:p>
            <w:pPr>
              <w:spacing w:line="300" w:lineRule="exact"/>
              <w:jc w:val="center"/>
              <w:rPr>
                <w:rFonts w:eastAsia="宋体" w:asciiTheme="minorEastAsia" w:hAnsiTheme="minorEastAsia" w:cstheme="minorEastAsia"/>
                <w:kern w:val="0"/>
                <w:sz w:val="28"/>
                <w:szCs w:val="28"/>
              </w:rPr>
            </w:pPr>
          </w:p>
        </w:tc>
        <w:tc>
          <w:tcPr>
            <w:tcW w:w="1695" w:type="dxa"/>
            <w:vMerge w:val="continue"/>
            <w:vAlign w:val="center"/>
          </w:tcPr>
          <w:p>
            <w:pPr>
              <w:spacing w:line="300" w:lineRule="exact"/>
              <w:jc w:val="center"/>
              <w:rPr>
                <w:rFonts w:eastAsia="宋体" w:asciiTheme="minorEastAsia" w:hAnsiTheme="minorEastAsia" w:cstheme="minorEastAsia"/>
                <w:kern w:val="0"/>
                <w:sz w:val="28"/>
                <w:szCs w:val="28"/>
              </w:rPr>
            </w:pPr>
          </w:p>
        </w:tc>
        <w:tc>
          <w:tcPr>
            <w:tcW w:w="1329" w:type="dxa"/>
            <w:vMerge w:val="continue"/>
            <w:vAlign w:val="center"/>
          </w:tcPr>
          <w:p>
            <w:pPr>
              <w:spacing w:line="300" w:lineRule="exact"/>
              <w:jc w:val="center"/>
              <w:rPr>
                <w:rFonts w:eastAsia="宋体" w:asciiTheme="minorEastAsia" w:hAnsi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0" w:type="dxa"/>
            <w:vAlign w:val="center"/>
          </w:tcPr>
          <w:p>
            <w:pPr>
              <w:spacing w:line="3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w:t>
            </w:r>
          </w:p>
        </w:tc>
        <w:tc>
          <w:tcPr>
            <w:tcW w:w="1378" w:type="dxa"/>
            <w:vAlign w:val="center"/>
          </w:tcPr>
          <w:p>
            <w:pPr>
              <w:spacing w:line="300" w:lineRule="exact"/>
              <w:jc w:val="center"/>
              <w:rPr>
                <w:rFonts w:ascii="Times New Roman" w:hAnsi="Times New Roman" w:eastAsia="宋体" w:cs="Times New Roman"/>
                <w:kern w:val="0"/>
                <w:sz w:val="28"/>
                <w:szCs w:val="28"/>
              </w:rPr>
            </w:pPr>
          </w:p>
        </w:tc>
        <w:tc>
          <w:tcPr>
            <w:tcW w:w="1424" w:type="dxa"/>
            <w:vAlign w:val="center"/>
          </w:tcPr>
          <w:p>
            <w:pPr>
              <w:spacing w:line="300" w:lineRule="exact"/>
              <w:jc w:val="center"/>
              <w:rPr>
                <w:rFonts w:ascii="Times New Roman" w:hAnsi="Times New Roman" w:eastAsia="宋体" w:cs="Times New Roman"/>
                <w:kern w:val="0"/>
                <w:sz w:val="28"/>
                <w:szCs w:val="28"/>
              </w:rPr>
            </w:pPr>
          </w:p>
        </w:tc>
        <w:tc>
          <w:tcPr>
            <w:tcW w:w="1712" w:type="dxa"/>
            <w:vAlign w:val="center"/>
          </w:tcPr>
          <w:p>
            <w:pPr>
              <w:spacing w:line="300" w:lineRule="exact"/>
              <w:jc w:val="left"/>
              <w:rPr>
                <w:rFonts w:ascii="Times New Roman" w:hAnsi="Times New Roman" w:eastAsia="宋体" w:cs="Times New Roman"/>
                <w:kern w:val="0"/>
                <w:sz w:val="28"/>
                <w:szCs w:val="28"/>
              </w:rPr>
            </w:pPr>
          </w:p>
        </w:tc>
        <w:tc>
          <w:tcPr>
            <w:tcW w:w="1785" w:type="dxa"/>
            <w:vAlign w:val="center"/>
          </w:tcPr>
          <w:p>
            <w:pPr>
              <w:spacing w:line="300" w:lineRule="exact"/>
              <w:jc w:val="left"/>
              <w:rPr>
                <w:rFonts w:ascii="Times New Roman" w:hAnsi="Times New Roman" w:eastAsia="宋体" w:cs="Times New Roman"/>
                <w:kern w:val="0"/>
                <w:sz w:val="28"/>
                <w:szCs w:val="28"/>
              </w:rPr>
            </w:pPr>
          </w:p>
        </w:tc>
        <w:tc>
          <w:tcPr>
            <w:tcW w:w="1726" w:type="dxa"/>
            <w:vAlign w:val="center"/>
          </w:tcPr>
          <w:p>
            <w:pPr>
              <w:spacing w:line="300" w:lineRule="exact"/>
              <w:rPr>
                <w:rFonts w:ascii="Times New Roman" w:hAnsi="Times New Roman" w:eastAsia="宋体" w:cs="Times New Roman"/>
                <w:kern w:val="0"/>
                <w:sz w:val="28"/>
                <w:szCs w:val="28"/>
              </w:rPr>
            </w:pPr>
          </w:p>
        </w:tc>
        <w:tc>
          <w:tcPr>
            <w:tcW w:w="1695" w:type="dxa"/>
            <w:vAlign w:val="center"/>
          </w:tcPr>
          <w:p>
            <w:pPr>
              <w:spacing w:line="300" w:lineRule="exact"/>
              <w:rPr>
                <w:rFonts w:ascii="Times New Roman" w:hAnsi="Times New Roman" w:eastAsia="宋体" w:cs="Times New Roman"/>
                <w:kern w:val="0"/>
                <w:sz w:val="28"/>
                <w:szCs w:val="28"/>
              </w:rPr>
            </w:pPr>
          </w:p>
        </w:tc>
        <w:tc>
          <w:tcPr>
            <w:tcW w:w="1329" w:type="dxa"/>
            <w:vAlign w:val="center"/>
          </w:tcPr>
          <w:p>
            <w:pPr>
              <w:spacing w:line="30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00" w:type="dxa"/>
            <w:vAlign w:val="center"/>
          </w:tcPr>
          <w:p>
            <w:pPr>
              <w:spacing w:line="30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w:t>
            </w:r>
          </w:p>
        </w:tc>
        <w:tc>
          <w:tcPr>
            <w:tcW w:w="1378" w:type="dxa"/>
            <w:vAlign w:val="center"/>
          </w:tcPr>
          <w:p>
            <w:pPr>
              <w:spacing w:line="300" w:lineRule="exact"/>
              <w:jc w:val="center"/>
              <w:rPr>
                <w:rFonts w:ascii="Times New Roman" w:hAnsi="Times New Roman" w:eastAsia="宋体" w:cs="Times New Roman"/>
                <w:kern w:val="0"/>
                <w:sz w:val="28"/>
                <w:szCs w:val="28"/>
              </w:rPr>
            </w:pPr>
          </w:p>
        </w:tc>
        <w:tc>
          <w:tcPr>
            <w:tcW w:w="1424" w:type="dxa"/>
            <w:vAlign w:val="center"/>
          </w:tcPr>
          <w:p>
            <w:pPr>
              <w:spacing w:line="300" w:lineRule="exact"/>
              <w:jc w:val="center"/>
              <w:rPr>
                <w:rFonts w:ascii="Times New Roman" w:hAnsi="Times New Roman" w:eastAsia="宋体" w:cs="Times New Roman"/>
                <w:kern w:val="0"/>
                <w:sz w:val="28"/>
                <w:szCs w:val="28"/>
              </w:rPr>
            </w:pPr>
          </w:p>
        </w:tc>
        <w:tc>
          <w:tcPr>
            <w:tcW w:w="1712" w:type="dxa"/>
            <w:vAlign w:val="center"/>
          </w:tcPr>
          <w:p>
            <w:pPr>
              <w:spacing w:line="300" w:lineRule="exact"/>
              <w:jc w:val="left"/>
              <w:rPr>
                <w:rFonts w:ascii="Times New Roman" w:hAnsi="Times New Roman" w:eastAsia="宋体" w:cs="Times New Roman"/>
                <w:kern w:val="0"/>
                <w:sz w:val="28"/>
                <w:szCs w:val="28"/>
              </w:rPr>
            </w:pPr>
          </w:p>
        </w:tc>
        <w:tc>
          <w:tcPr>
            <w:tcW w:w="1785" w:type="dxa"/>
            <w:vAlign w:val="center"/>
          </w:tcPr>
          <w:p>
            <w:pPr>
              <w:spacing w:line="300" w:lineRule="exact"/>
              <w:jc w:val="left"/>
              <w:rPr>
                <w:rFonts w:ascii="Times New Roman" w:hAnsi="Times New Roman" w:eastAsia="宋体" w:cs="Times New Roman"/>
                <w:kern w:val="0"/>
                <w:sz w:val="28"/>
                <w:szCs w:val="28"/>
              </w:rPr>
            </w:pPr>
          </w:p>
        </w:tc>
        <w:tc>
          <w:tcPr>
            <w:tcW w:w="1726" w:type="dxa"/>
            <w:vAlign w:val="center"/>
          </w:tcPr>
          <w:p>
            <w:pPr>
              <w:spacing w:line="300" w:lineRule="exact"/>
              <w:jc w:val="center"/>
              <w:rPr>
                <w:rFonts w:ascii="Times New Roman" w:hAnsi="Times New Roman" w:eastAsia="宋体" w:cs="Times New Roman"/>
                <w:kern w:val="0"/>
                <w:sz w:val="28"/>
                <w:szCs w:val="28"/>
              </w:rPr>
            </w:pPr>
          </w:p>
        </w:tc>
        <w:tc>
          <w:tcPr>
            <w:tcW w:w="1695" w:type="dxa"/>
            <w:vAlign w:val="center"/>
          </w:tcPr>
          <w:p>
            <w:pPr>
              <w:spacing w:line="300" w:lineRule="exact"/>
              <w:jc w:val="center"/>
              <w:rPr>
                <w:rFonts w:ascii="Times New Roman" w:hAnsi="Times New Roman" w:eastAsia="宋体" w:cs="Times New Roman"/>
                <w:kern w:val="0"/>
                <w:sz w:val="28"/>
                <w:szCs w:val="28"/>
              </w:rPr>
            </w:pPr>
          </w:p>
        </w:tc>
        <w:tc>
          <w:tcPr>
            <w:tcW w:w="1329" w:type="dxa"/>
            <w:vAlign w:val="center"/>
          </w:tcPr>
          <w:p>
            <w:pPr>
              <w:spacing w:line="300" w:lineRule="exact"/>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vAlign w:val="center"/>
          </w:tcPr>
          <w:p>
            <w:pPr>
              <w:spacing w:line="300" w:lineRule="exact"/>
              <w:jc w:val="center"/>
              <w:rPr>
                <w:rFonts w:ascii="Times New Roman" w:hAnsi="Times New Roman" w:eastAsia="宋体" w:cs="Times New Roman"/>
                <w:kern w:val="0"/>
                <w:sz w:val="28"/>
                <w:szCs w:val="28"/>
              </w:rPr>
            </w:pPr>
          </w:p>
        </w:tc>
        <w:tc>
          <w:tcPr>
            <w:tcW w:w="1378" w:type="dxa"/>
            <w:vAlign w:val="center"/>
          </w:tcPr>
          <w:p>
            <w:pPr>
              <w:spacing w:line="300" w:lineRule="exact"/>
              <w:jc w:val="center"/>
              <w:rPr>
                <w:rFonts w:ascii="Times New Roman" w:hAnsi="Times New Roman" w:eastAsia="宋体" w:cs="Times New Roman"/>
                <w:kern w:val="0"/>
                <w:sz w:val="28"/>
                <w:szCs w:val="28"/>
              </w:rPr>
            </w:pPr>
          </w:p>
        </w:tc>
        <w:tc>
          <w:tcPr>
            <w:tcW w:w="1424" w:type="dxa"/>
            <w:vAlign w:val="center"/>
          </w:tcPr>
          <w:p>
            <w:pPr>
              <w:spacing w:line="300" w:lineRule="exact"/>
              <w:jc w:val="center"/>
              <w:rPr>
                <w:rFonts w:ascii="Times New Roman" w:hAnsi="Times New Roman" w:eastAsia="宋体" w:cs="Times New Roman"/>
                <w:kern w:val="0"/>
                <w:sz w:val="28"/>
                <w:szCs w:val="28"/>
              </w:rPr>
            </w:pPr>
          </w:p>
        </w:tc>
        <w:tc>
          <w:tcPr>
            <w:tcW w:w="1712" w:type="dxa"/>
            <w:vAlign w:val="center"/>
          </w:tcPr>
          <w:p>
            <w:pPr>
              <w:spacing w:line="300" w:lineRule="exact"/>
              <w:jc w:val="left"/>
              <w:rPr>
                <w:rFonts w:ascii="Times New Roman" w:hAnsi="Times New Roman" w:eastAsia="宋体" w:cs="Times New Roman"/>
                <w:kern w:val="0"/>
                <w:sz w:val="28"/>
                <w:szCs w:val="28"/>
              </w:rPr>
            </w:pPr>
          </w:p>
        </w:tc>
        <w:tc>
          <w:tcPr>
            <w:tcW w:w="1785" w:type="dxa"/>
            <w:vAlign w:val="center"/>
          </w:tcPr>
          <w:p>
            <w:pPr>
              <w:spacing w:line="300" w:lineRule="exact"/>
              <w:jc w:val="left"/>
              <w:rPr>
                <w:rFonts w:ascii="Times New Roman" w:hAnsi="Times New Roman" w:eastAsia="宋体" w:cs="Times New Roman"/>
                <w:kern w:val="0"/>
                <w:sz w:val="28"/>
                <w:szCs w:val="28"/>
              </w:rPr>
            </w:pPr>
          </w:p>
        </w:tc>
        <w:tc>
          <w:tcPr>
            <w:tcW w:w="1726" w:type="dxa"/>
            <w:vAlign w:val="center"/>
          </w:tcPr>
          <w:p>
            <w:pPr>
              <w:spacing w:line="300" w:lineRule="exact"/>
              <w:jc w:val="center"/>
              <w:rPr>
                <w:rFonts w:ascii="Times New Roman" w:hAnsi="Times New Roman" w:eastAsia="宋体" w:cs="Times New Roman"/>
                <w:kern w:val="0"/>
                <w:sz w:val="28"/>
                <w:szCs w:val="28"/>
              </w:rPr>
            </w:pPr>
          </w:p>
        </w:tc>
        <w:tc>
          <w:tcPr>
            <w:tcW w:w="1695" w:type="dxa"/>
            <w:vAlign w:val="center"/>
          </w:tcPr>
          <w:p>
            <w:pPr>
              <w:spacing w:line="300" w:lineRule="exact"/>
              <w:jc w:val="center"/>
              <w:rPr>
                <w:rFonts w:ascii="Times New Roman" w:hAnsi="Times New Roman" w:eastAsia="宋体" w:cs="Times New Roman"/>
                <w:kern w:val="0"/>
                <w:sz w:val="28"/>
                <w:szCs w:val="28"/>
              </w:rPr>
            </w:pPr>
          </w:p>
        </w:tc>
        <w:tc>
          <w:tcPr>
            <w:tcW w:w="1329" w:type="dxa"/>
            <w:vAlign w:val="center"/>
          </w:tcPr>
          <w:p>
            <w:pPr>
              <w:spacing w:line="300" w:lineRule="exact"/>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vAlign w:val="center"/>
          </w:tcPr>
          <w:p>
            <w:pPr>
              <w:spacing w:line="300" w:lineRule="exact"/>
              <w:jc w:val="center"/>
              <w:rPr>
                <w:rFonts w:ascii="Times New Roman" w:hAnsi="Times New Roman" w:eastAsia="宋体" w:cs="Times New Roman"/>
                <w:kern w:val="0"/>
                <w:sz w:val="28"/>
                <w:szCs w:val="28"/>
              </w:rPr>
            </w:pPr>
          </w:p>
        </w:tc>
        <w:tc>
          <w:tcPr>
            <w:tcW w:w="1378" w:type="dxa"/>
            <w:vAlign w:val="center"/>
          </w:tcPr>
          <w:p>
            <w:pPr>
              <w:spacing w:line="300" w:lineRule="exact"/>
              <w:jc w:val="center"/>
              <w:rPr>
                <w:rFonts w:ascii="Times New Roman" w:hAnsi="Times New Roman" w:eastAsia="宋体" w:cs="Times New Roman"/>
                <w:kern w:val="0"/>
                <w:sz w:val="28"/>
                <w:szCs w:val="28"/>
              </w:rPr>
            </w:pPr>
          </w:p>
        </w:tc>
        <w:tc>
          <w:tcPr>
            <w:tcW w:w="1424" w:type="dxa"/>
            <w:vAlign w:val="center"/>
          </w:tcPr>
          <w:p>
            <w:pPr>
              <w:spacing w:line="300" w:lineRule="exact"/>
              <w:jc w:val="center"/>
              <w:rPr>
                <w:rFonts w:ascii="Times New Roman" w:hAnsi="Times New Roman" w:eastAsia="宋体" w:cs="Times New Roman"/>
                <w:kern w:val="0"/>
                <w:sz w:val="28"/>
                <w:szCs w:val="28"/>
              </w:rPr>
            </w:pPr>
          </w:p>
        </w:tc>
        <w:tc>
          <w:tcPr>
            <w:tcW w:w="1712" w:type="dxa"/>
            <w:vAlign w:val="center"/>
          </w:tcPr>
          <w:p>
            <w:pPr>
              <w:spacing w:line="300" w:lineRule="exact"/>
              <w:jc w:val="left"/>
              <w:rPr>
                <w:rFonts w:ascii="Times New Roman" w:hAnsi="Times New Roman" w:eastAsia="宋体" w:cs="Times New Roman"/>
                <w:kern w:val="0"/>
                <w:sz w:val="28"/>
                <w:szCs w:val="28"/>
              </w:rPr>
            </w:pPr>
          </w:p>
        </w:tc>
        <w:tc>
          <w:tcPr>
            <w:tcW w:w="1785" w:type="dxa"/>
            <w:vAlign w:val="center"/>
          </w:tcPr>
          <w:p>
            <w:pPr>
              <w:spacing w:line="300" w:lineRule="exact"/>
              <w:jc w:val="left"/>
              <w:rPr>
                <w:rFonts w:ascii="Times New Roman" w:hAnsi="Times New Roman" w:eastAsia="宋体" w:cs="Times New Roman"/>
                <w:kern w:val="0"/>
                <w:sz w:val="28"/>
                <w:szCs w:val="28"/>
              </w:rPr>
            </w:pPr>
          </w:p>
        </w:tc>
        <w:tc>
          <w:tcPr>
            <w:tcW w:w="1726" w:type="dxa"/>
            <w:vAlign w:val="center"/>
          </w:tcPr>
          <w:p>
            <w:pPr>
              <w:spacing w:line="300" w:lineRule="exact"/>
              <w:jc w:val="center"/>
              <w:rPr>
                <w:rFonts w:ascii="Times New Roman" w:hAnsi="Times New Roman" w:eastAsia="宋体" w:cs="Times New Roman"/>
                <w:kern w:val="0"/>
                <w:sz w:val="28"/>
                <w:szCs w:val="28"/>
              </w:rPr>
            </w:pPr>
          </w:p>
        </w:tc>
        <w:tc>
          <w:tcPr>
            <w:tcW w:w="1695" w:type="dxa"/>
            <w:vAlign w:val="center"/>
          </w:tcPr>
          <w:p>
            <w:pPr>
              <w:spacing w:line="300" w:lineRule="exact"/>
              <w:jc w:val="center"/>
              <w:rPr>
                <w:rFonts w:ascii="Times New Roman" w:hAnsi="Times New Roman" w:eastAsia="宋体" w:cs="Times New Roman"/>
                <w:kern w:val="0"/>
                <w:sz w:val="28"/>
                <w:szCs w:val="28"/>
              </w:rPr>
            </w:pPr>
          </w:p>
        </w:tc>
        <w:tc>
          <w:tcPr>
            <w:tcW w:w="1329" w:type="dxa"/>
            <w:vAlign w:val="center"/>
          </w:tcPr>
          <w:p>
            <w:pPr>
              <w:spacing w:line="300" w:lineRule="exact"/>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vAlign w:val="center"/>
          </w:tcPr>
          <w:p>
            <w:pPr>
              <w:spacing w:line="300" w:lineRule="exact"/>
              <w:jc w:val="center"/>
              <w:rPr>
                <w:rFonts w:ascii="Times New Roman" w:hAnsi="Times New Roman" w:eastAsia="宋体" w:cs="Times New Roman"/>
                <w:kern w:val="0"/>
                <w:sz w:val="28"/>
                <w:szCs w:val="28"/>
              </w:rPr>
            </w:pPr>
          </w:p>
        </w:tc>
        <w:tc>
          <w:tcPr>
            <w:tcW w:w="1378" w:type="dxa"/>
            <w:vAlign w:val="center"/>
          </w:tcPr>
          <w:p>
            <w:pPr>
              <w:spacing w:line="300" w:lineRule="exact"/>
              <w:jc w:val="center"/>
              <w:rPr>
                <w:rFonts w:ascii="Times New Roman" w:hAnsi="Times New Roman" w:eastAsia="宋体" w:cs="Times New Roman"/>
                <w:kern w:val="0"/>
                <w:sz w:val="28"/>
                <w:szCs w:val="28"/>
              </w:rPr>
            </w:pPr>
          </w:p>
        </w:tc>
        <w:tc>
          <w:tcPr>
            <w:tcW w:w="1424" w:type="dxa"/>
            <w:vAlign w:val="center"/>
          </w:tcPr>
          <w:p>
            <w:pPr>
              <w:spacing w:line="300" w:lineRule="exact"/>
              <w:jc w:val="center"/>
              <w:rPr>
                <w:rFonts w:ascii="Times New Roman" w:hAnsi="Times New Roman" w:eastAsia="宋体" w:cs="Times New Roman"/>
                <w:kern w:val="0"/>
                <w:sz w:val="28"/>
                <w:szCs w:val="28"/>
              </w:rPr>
            </w:pPr>
          </w:p>
        </w:tc>
        <w:tc>
          <w:tcPr>
            <w:tcW w:w="1712" w:type="dxa"/>
            <w:vAlign w:val="center"/>
          </w:tcPr>
          <w:p>
            <w:pPr>
              <w:spacing w:line="300" w:lineRule="exact"/>
              <w:jc w:val="left"/>
              <w:rPr>
                <w:rFonts w:ascii="Times New Roman" w:hAnsi="Times New Roman" w:eastAsia="宋体" w:cs="Times New Roman"/>
                <w:kern w:val="0"/>
                <w:sz w:val="28"/>
                <w:szCs w:val="28"/>
              </w:rPr>
            </w:pPr>
          </w:p>
        </w:tc>
        <w:tc>
          <w:tcPr>
            <w:tcW w:w="1785" w:type="dxa"/>
            <w:vAlign w:val="center"/>
          </w:tcPr>
          <w:p>
            <w:pPr>
              <w:spacing w:line="300" w:lineRule="exact"/>
              <w:jc w:val="left"/>
              <w:rPr>
                <w:rFonts w:ascii="Times New Roman" w:hAnsi="Times New Roman" w:eastAsia="宋体" w:cs="Times New Roman"/>
                <w:kern w:val="0"/>
                <w:sz w:val="28"/>
                <w:szCs w:val="28"/>
              </w:rPr>
            </w:pPr>
          </w:p>
        </w:tc>
        <w:tc>
          <w:tcPr>
            <w:tcW w:w="1726" w:type="dxa"/>
            <w:vAlign w:val="center"/>
          </w:tcPr>
          <w:p>
            <w:pPr>
              <w:spacing w:line="300" w:lineRule="exact"/>
              <w:jc w:val="center"/>
              <w:rPr>
                <w:rFonts w:ascii="Times New Roman" w:hAnsi="Times New Roman" w:eastAsia="宋体" w:cs="Times New Roman"/>
                <w:kern w:val="0"/>
                <w:sz w:val="28"/>
                <w:szCs w:val="28"/>
              </w:rPr>
            </w:pPr>
          </w:p>
        </w:tc>
        <w:tc>
          <w:tcPr>
            <w:tcW w:w="1695" w:type="dxa"/>
            <w:vAlign w:val="center"/>
          </w:tcPr>
          <w:p>
            <w:pPr>
              <w:spacing w:line="300" w:lineRule="exact"/>
              <w:jc w:val="center"/>
              <w:rPr>
                <w:rFonts w:ascii="Times New Roman" w:hAnsi="Times New Roman" w:eastAsia="宋体" w:cs="Times New Roman"/>
                <w:kern w:val="0"/>
                <w:sz w:val="28"/>
                <w:szCs w:val="28"/>
              </w:rPr>
            </w:pPr>
          </w:p>
        </w:tc>
        <w:tc>
          <w:tcPr>
            <w:tcW w:w="1329" w:type="dxa"/>
            <w:vAlign w:val="center"/>
          </w:tcPr>
          <w:p>
            <w:pPr>
              <w:spacing w:line="300" w:lineRule="exact"/>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vAlign w:val="center"/>
          </w:tcPr>
          <w:p>
            <w:pPr>
              <w:spacing w:line="300" w:lineRule="exact"/>
              <w:jc w:val="center"/>
              <w:rPr>
                <w:rFonts w:ascii="Times New Roman" w:hAnsi="Times New Roman" w:eastAsia="宋体" w:cs="Times New Roman"/>
                <w:kern w:val="0"/>
                <w:sz w:val="28"/>
                <w:szCs w:val="28"/>
              </w:rPr>
            </w:pPr>
          </w:p>
        </w:tc>
        <w:tc>
          <w:tcPr>
            <w:tcW w:w="1378" w:type="dxa"/>
            <w:vAlign w:val="center"/>
          </w:tcPr>
          <w:p>
            <w:pPr>
              <w:spacing w:line="300" w:lineRule="exact"/>
              <w:jc w:val="center"/>
              <w:rPr>
                <w:rFonts w:ascii="Times New Roman" w:hAnsi="Times New Roman" w:eastAsia="宋体" w:cs="Times New Roman"/>
                <w:kern w:val="0"/>
                <w:sz w:val="28"/>
                <w:szCs w:val="28"/>
              </w:rPr>
            </w:pPr>
          </w:p>
        </w:tc>
        <w:tc>
          <w:tcPr>
            <w:tcW w:w="1424" w:type="dxa"/>
            <w:vAlign w:val="center"/>
          </w:tcPr>
          <w:p>
            <w:pPr>
              <w:spacing w:line="300" w:lineRule="exact"/>
              <w:jc w:val="center"/>
              <w:rPr>
                <w:rFonts w:ascii="Times New Roman" w:hAnsi="Times New Roman" w:eastAsia="宋体" w:cs="Times New Roman"/>
                <w:kern w:val="0"/>
                <w:sz w:val="28"/>
                <w:szCs w:val="28"/>
              </w:rPr>
            </w:pPr>
          </w:p>
        </w:tc>
        <w:tc>
          <w:tcPr>
            <w:tcW w:w="1712" w:type="dxa"/>
            <w:vAlign w:val="center"/>
          </w:tcPr>
          <w:p>
            <w:pPr>
              <w:spacing w:line="300" w:lineRule="exact"/>
              <w:jc w:val="left"/>
              <w:rPr>
                <w:rFonts w:ascii="Times New Roman" w:hAnsi="Times New Roman" w:eastAsia="宋体" w:cs="Times New Roman"/>
                <w:kern w:val="0"/>
                <w:sz w:val="28"/>
                <w:szCs w:val="28"/>
              </w:rPr>
            </w:pPr>
          </w:p>
        </w:tc>
        <w:tc>
          <w:tcPr>
            <w:tcW w:w="1785" w:type="dxa"/>
            <w:vAlign w:val="center"/>
          </w:tcPr>
          <w:p>
            <w:pPr>
              <w:spacing w:line="300" w:lineRule="exact"/>
              <w:jc w:val="left"/>
              <w:rPr>
                <w:rFonts w:ascii="Times New Roman" w:hAnsi="Times New Roman" w:eastAsia="宋体" w:cs="Times New Roman"/>
                <w:kern w:val="0"/>
                <w:sz w:val="28"/>
                <w:szCs w:val="28"/>
              </w:rPr>
            </w:pPr>
          </w:p>
        </w:tc>
        <w:tc>
          <w:tcPr>
            <w:tcW w:w="1726" w:type="dxa"/>
            <w:vAlign w:val="center"/>
          </w:tcPr>
          <w:p>
            <w:pPr>
              <w:spacing w:line="300" w:lineRule="exact"/>
              <w:jc w:val="center"/>
              <w:rPr>
                <w:rFonts w:ascii="Times New Roman" w:hAnsi="Times New Roman" w:eastAsia="宋体" w:cs="Times New Roman"/>
                <w:kern w:val="0"/>
                <w:sz w:val="28"/>
                <w:szCs w:val="28"/>
              </w:rPr>
            </w:pPr>
          </w:p>
        </w:tc>
        <w:tc>
          <w:tcPr>
            <w:tcW w:w="1695" w:type="dxa"/>
            <w:vAlign w:val="center"/>
          </w:tcPr>
          <w:p>
            <w:pPr>
              <w:spacing w:line="300" w:lineRule="exact"/>
              <w:jc w:val="center"/>
              <w:rPr>
                <w:rFonts w:ascii="Times New Roman" w:hAnsi="Times New Roman" w:eastAsia="宋体" w:cs="Times New Roman"/>
                <w:kern w:val="0"/>
                <w:sz w:val="28"/>
                <w:szCs w:val="28"/>
              </w:rPr>
            </w:pPr>
          </w:p>
        </w:tc>
        <w:tc>
          <w:tcPr>
            <w:tcW w:w="1329" w:type="dxa"/>
            <w:vAlign w:val="center"/>
          </w:tcPr>
          <w:p>
            <w:pPr>
              <w:spacing w:line="300" w:lineRule="exact"/>
              <w:jc w:val="center"/>
              <w:rPr>
                <w:rFonts w:ascii="Times New Roman" w:hAnsi="Times New Roman" w:eastAsia="宋体" w:cs="Times New Roman"/>
                <w:kern w:val="0"/>
                <w:sz w:val="28"/>
                <w:szCs w:val="28"/>
              </w:rPr>
            </w:pPr>
          </w:p>
        </w:tc>
      </w:tr>
    </w:tbl>
    <w:p>
      <w:pPr>
        <w:ind w:firstLine="560" w:firstLineChars="200"/>
        <w:rPr>
          <w:rFonts w:ascii="Times New Roman" w:hAnsi="Times New Roman" w:cs="Times New Roman"/>
          <w:sz w:val="28"/>
          <w:szCs w:val="28"/>
        </w:rPr>
      </w:pPr>
      <w:r>
        <w:rPr>
          <w:rFonts w:hint="eastAsia"/>
          <w:sz w:val="28"/>
          <w:szCs w:val="28"/>
        </w:rPr>
        <w:t>注：每</w:t>
      </w:r>
      <w:r>
        <w:rPr>
          <w:rFonts w:hint="eastAsia"/>
          <w:sz w:val="28"/>
          <w:szCs w:val="28"/>
          <w:lang w:val="en-US" w:eastAsia="zh-CN"/>
        </w:rPr>
        <w:t>日</w:t>
      </w:r>
      <w:r>
        <w:rPr>
          <w:rFonts w:hint="eastAsia"/>
          <w:sz w:val="28"/>
          <w:szCs w:val="28"/>
        </w:rPr>
        <w:t>16:00前报市局承压处邮箱：</w:t>
      </w:r>
      <w:r>
        <w:rPr>
          <w:rFonts w:ascii="Times New Roman" w:hAnsi="Times New Roman" w:cs="Times New Roman"/>
          <w:sz w:val="28"/>
          <w:szCs w:val="28"/>
        </w:rPr>
        <w:t>chengyachu@163.com。</w:t>
      </w:r>
    </w:p>
    <w:p>
      <w:pPr>
        <w:pStyle w:val="2"/>
      </w:pPr>
      <w: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附件7：</w:t>
      </w:r>
    </w:p>
    <w:p>
      <w:pPr>
        <w:jc w:val="center"/>
        <w:rPr>
          <w:rFonts w:ascii="Times New Roman" w:hAnsi="Times New Roman" w:eastAsia="仿宋" w:cs="Times New Roman"/>
          <w:sz w:val="32"/>
          <w:szCs w:val="32"/>
        </w:rPr>
      </w:pPr>
      <w:r>
        <w:rPr>
          <w:rFonts w:hint="eastAsia" w:ascii="方正小标宋简体" w:hAnsi="方正小标宋简体" w:eastAsia="方正小标宋简体" w:cs="方正小标宋简体"/>
          <w:sz w:val="44"/>
          <w:szCs w:val="44"/>
        </w:rPr>
        <w:t>气体充装企业隐患自查情况统计表</w:t>
      </w:r>
    </w:p>
    <w:p>
      <w:pPr>
        <w:widowControl/>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区（县）：                     填报人：                     填报日期：</w:t>
      </w:r>
    </w:p>
    <w:tbl>
      <w:tblPr>
        <w:tblStyle w:val="6"/>
        <w:tblpPr w:leftFromText="180" w:rightFromText="180" w:vertAnchor="text" w:horzAnchor="margin" w:tblpXSpec="center" w:tblpY="67"/>
        <w:tblOverlap w:val="never"/>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003"/>
        <w:gridCol w:w="1424"/>
        <w:gridCol w:w="1233"/>
        <w:gridCol w:w="1148"/>
        <w:gridCol w:w="1912"/>
        <w:gridCol w:w="175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075" w:type="dxa"/>
            <w:vMerge w:val="restart"/>
            <w:vAlign w:val="center"/>
          </w:tcPr>
          <w:p>
            <w:pPr>
              <w:spacing w:line="300" w:lineRule="exact"/>
              <w:jc w:val="center"/>
              <w:rPr>
                <w:rFonts w:asciiTheme="minorEastAsia" w:hAnsiTheme="minorEastAsia" w:cstheme="minorEastAsia"/>
                <w:sz w:val="28"/>
                <w:szCs w:val="28"/>
              </w:rPr>
            </w:pPr>
            <w:r>
              <w:rPr>
                <w:rFonts w:hint="eastAsia" w:eastAsia="宋体" w:asciiTheme="minorEastAsia" w:hAnsiTheme="minorEastAsia" w:cstheme="minorEastAsia"/>
                <w:kern w:val="0"/>
                <w:sz w:val="28"/>
                <w:szCs w:val="28"/>
              </w:rPr>
              <w:t>气体充装单位名称</w:t>
            </w:r>
          </w:p>
        </w:tc>
        <w:tc>
          <w:tcPr>
            <w:tcW w:w="1003" w:type="dxa"/>
            <w:vMerge w:val="restart"/>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自查次数</w:t>
            </w:r>
          </w:p>
        </w:tc>
        <w:tc>
          <w:tcPr>
            <w:tcW w:w="1424" w:type="dxa"/>
            <w:vMerge w:val="restart"/>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自查设备（台）/管道（米）</w:t>
            </w:r>
          </w:p>
        </w:tc>
        <w:tc>
          <w:tcPr>
            <w:tcW w:w="2381" w:type="dxa"/>
            <w:gridSpan w:val="2"/>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发现问题</w:t>
            </w:r>
          </w:p>
        </w:tc>
        <w:tc>
          <w:tcPr>
            <w:tcW w:w="1912" w:type="dxa"/>
            <w:vMerge w:val="restart"/>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培训情况</w:t>
            </w:r>
          </w:p>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（次数/人员数量）</w:t>
            </w:r>
          </w:p>
        </w:tc>
        <w:tc>
          <w:tcPr>
            <w:tcW w:w="1755" w:type="dxa"/>
            <w:vMerge w:val="restart"/>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考试情况</w:t>
            </w:r>
          </w:p>
          <w:p>
            <w:pPr>
              <w:spacing w:line="300" w:lineRule="exact"/>
              <w:jc w:val="center"/>
              <w:rPr>
                <w:rFonts w:ascii="方正仿宋简体" w:hAnsi="Tahoma" w:eastAsia="方正仿宋简体" w:cs="Times New Roman"/>
                <w:kern w:val="0"/>
                <w:sz w:val="32"/>
                <w:szCs w:val="32"/>
              </w:rPr>
            </w:pPr>
            <w:r>
              <w:rPr>
                <w:rFonts w:hint="eastAsia" w:asciiTheme="minorEastAsia" w:hAnsiTheme="minorEastAsia" w:cstheme="minorEastAsia"/>
                <w:sz w:val="28"/>
                <w:szCs w:val="28"/>
              </w:rPr>
              <w:t>（次数/人员数量）</w:t>
            </w:r>
          </w:p>
        </w:tc>
        <w:tc>
          <w:tcPr>
            <w:tcW w:w="2490" w:type="dxa"/>
            <w:vMerge w:val="restart"/>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双重预防建设情况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075" w:type="dxa"/>
            <w:vMerge w:val="continue"/>
            <w:vAlign w:val="center"/>
          </w:tcPr>
          <w:p>
            <w:pPr>
              <w:spacing w:line="300" w:lineRule="exact"/>
              <w:jc w:val="center"/>
              <w:rPr>
                <w:rFonts w:asciiTheme="minorEastAsia" w:hAnsiTheme="minorEastAsia" w:cstheme="minorEastAsia"/>
                <w:sz w:val="28"/>
                <w:szCs w:val="28"/>
              </w:rPr>
            </w:pPr>
          </w:p>
        </w:tc>
        <w:tc>
          <w:tcPr>
            <w:tcW w:w="1003" w:type="dxa"/>
            <w:vMerge w:val="continue"/>
            <w:vAlign w:val="center"/>
          </w:tcPr>
          <w:p>
            <w:pPr>
              <w:spacing w:line="300" w:lineRule="exact"/>
              <w:jc w:val="center"/>
              <w:rPr>
                <w:rFonts w:asciiTheme="minorEastAsia" w:hAnsiTheme="minorEastAsia" w:cstheme="minorEastAsia"/>
                <w:sz w:val="28"/>
                <w:szCs w:val="28"/>
              </w:rPr>
            </w:pPr>
          </w:p>
        </w:tc>
        <w:tc>
          <w:tcPr>
            <w:tcW w:w="1424" w:type="dxa"/>
            <w:vMerge w:val="continue"/>
            <w:vAlign w:val="center"/>
          </w:tcPr>
          <w:p>
            <w:pPr>
              <w:spacing w:line="300" w:lineRule="exact"/>
              <w:jc w:val="center"/>
              <w:rPr>
                <w:rFonts w:asciiTheme="minorEastAsia" w:hAnsiTheme="minorEastAsia" w:cstheme="minorEastAsia"/>
                <w:sz w:val="28"/>
                <w:szCs w:val="28"/>
              </w:rPr>
            </w:pPr>
          </w:p>
        </w:tc>
        <w:tc>
          <w:tcPr>
            <w:tcW w:w="1233" w:type="dxa"/>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安全管理类（个）</w:t>
            </w:r>
          </w:p>
        </w:tc>
        <w:tc>
          <w:tcPr>
            <w:tcW w:w="1148" w:type="dxa"/>
            <w:vAlign w:val="center"/>
          </w:tcPr>
          <w:p>
            <w:pPr>
              <w:spacing w:line="3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设备类（个）</w:t>
            </w:r>
          </w:p>
        </w:tc>
        <w:tc>
          <w:tcPr>
            <w:tcW w:w="1912" w:type="dxa"/>
            <w:vMerge w:val="continue"/>
            <w:vAlign w:val="center"/>
          </w:tcPr>
          <w:p>
            <w:pPr>
              <w:spacing w:line="300" w:lineRule="exact"/>
              <w:jc w:val="center"/>
              <w:rPr>
                <w:rFonts w:asciiTheme="minorEastAsia" w:hAnsiTheme="minorEastAsia" w:cstheme="minorEastAsia"/>
                <w:sz w:val="28"/>
                <w:szCs w:val="28"/>
              </w:rPr>
            </w:pPr>
          </w:p>
        </w:tc>
        <w:tc>
          <w:tcPr>
            <w:tcW w:w="1755" w:type="dxa"/>
            <w:vMerge w:val="continue"/>
            <w:vAlign w:val="center"/>
          </w:tcPr>
          <w:p>
            <w:pPr>
              <w:spacing w:line="300" w:lineRule="exact"/>
              <w:jc w:val="center"/>
              <w:rPr>
                <w:rFonts w:asciiTheme="minorEastAsia" w:hAnsiTheme="minorEastAsia" w:cstheme="minorEastAsia"/>
                <w:sz w:val="28"/>
                <w:szCs w:val="28"/>
              </w:rPr>
            </w:pPr>
          </w:p>
        </w:tc>
        <w:tc>
          <w:tcPr>
            <w:tcW w:w="2490" w:type="dxa"/>
            <w:vMerge w:val="continue"/>
            <w:vAlign w:val="center"/>
          </w:tcPr>
          <w:p>
            <w:pPr>
              <w:spacing w:line="30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5" w:type="dxa"/>
            <w:vAlign w:val="center"/>
          </w:tcPr>
          <w:p>
            <w:pPr>
              <w:spacing w:line="30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03" w:type="dxa"/>
            <w:vAlign w:val="center"/>
          </w:tcPr>
          <w:p>
            <w:pPr>
              <w:spacing w:line="300" w:lineRule="exact"/>
              <w:jc w:val="center"/>
              <w:rPr>
                <w:rFonts w:ascii="Times New Roman" w:hAnsi="Times New Roman" w:cs="Times New Roman"/>
                <w:sz w:val="28"/>
                <w:szCs w:val="28"/>
              </w:rPr>
            </w:pPr>
          </w:p>
        </w:tc>
        <w:tc>
          <w:tcPr>
            <w:tcW w:w="1424" w:type="dxa"/>
            <w:vAlign w:val="center"/>
          </w:tcPr>
          <w:p>
            <w:pPr>
              <w:spacing w:line="300" w:lineRule="exact"/>
              <w:jc w:val="center"/>
              <w:rPr>
                <w:rFonts w:ascii="Times New Roman" w:hAnsi="Times New Roman" w:cs="Times New Roman"/>
                <w:sz w:val="28"/>
                <w:szCs w:val="28"/>
              </w:rPr>
            </w:pPr>
          </w:p>
        </w:tc>
        <w:tc>
          <w:tcPr>
            <w:tcW w:w="1233" w:type="dxa"/>
            <w:vAlign w:val="center"/>
          </w:tcPr>
          <w:p>
            <w:pPr>
              <w:spacing w:line="300" w:lineRule="exact"/>
              <w:jc w:val="left"/>
              <w:rPr>
                <w:rFonts w:ascii="Times New Roman" w:hAnsi="Times New Roman" w:cs="Times New Roman"/>
                <w:sz w:val="28"/>
                <w:szCs w:val="28"/>
              </w:rPr>
            </w:pPr>
          </w:p>
        </w:tc>
        <w:tc>
          <w:tcPr>
            <w:tcW w:w="1148" w:type="dxa"/>
            <w:vAlign w:val="center"/>
          </w:tcPr>
          <w:p>
            <w:pPr>
              <w:spacing w:line="300" w:lineRule="exact"/>
              <w:jc w:val="left"/>
              <w:rPr>
                <w:rFonts w:ascii="Times New Roman" w:hAnsi="Times New Roman" w:cs="Times New Roman"/>
                <w:sz w:val="28"/>
                <w:szCs w:val="28"/>
              </w:rPr>
            </w:pPr>
          </w:p>
        </w:tc>
        <w:tc>
          <w:tcPr>
            <w:tcW w:w="1912" w:type="dxa"/>
            <w:vAlign w:val="center"/>
          </w:tcPr>
          <w:p>
            <w:pPr>
              <w:spacing w:line="300" w:lineRule="exact"/>
              <w:rPr>
                <w:rFonts w:ascii="Times New Roman" w:hAnsi="Times New Roman" w:cs="Times New Roman"/>
                <w:sz w:val="28"/>
                <w:szCs w:val="28"/>
              </w:rPr>
            </w:pPr>
          </w:p>
        </w:tc>
        <w:tc>
          <w:tcPr>
            <w:tcW w:w="1755" w:type="dxa"/>
            <w:vAlign w:val="center"/>
          </w:tcPr>
          <w:p>
            <w:pPr>
              <w:spacing w:line="300" w:lineRule="exact"/>
              <w:rPr>
                <w:rFonts w:ascii="Times New Roman" w:hAnsi="Times New Roman" w:cs="Times New Roman"/>
                <w:sz w:val="28"/>
                <w:szCs w:val="28"/>
              </w:rPr>
            </w:pPr>
          </w:p>
        </w:tc>
        <w:tc>
          <w:tcPr>
            <w:tcW w:w="2490" w:type="dxa"/>
            <w:vAlign w:val="center"/>
          </w:tcPr>
          <w:p>
            <w:pPr>
              <w:spacing w:line="300" w:lineRule="exac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075" w:type="dxa"/>
            <w:vAlign w:val="center"/>
          </w:tcPr>
          <w:p>
            <w:pPr>
              <w:spacing w:line="30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03" w:type="dxa"/>
            <w:vAlign w:val="center"/>
          </w:tcPr>
          <w:p>
            <w:pPr>
              <w:spacing w:line="300" w:lineRule="exact"/>
              <w:jc w:val="center"/>
              <w:rPr>
                <w:rFonts w:ascii="Times New Roman" w:hAnsi="Times New Roman" w:cs="Times New Roman"/>
                <w:sz w:val="28"/>
                <w:szCs w:val="28"/>
              </w:rPr>
            </w:pPr>
          </w:p>
        </w:tc>
        <w:tc>
          <w:tcPr>
            <w:tcW w:w="1424" w:type="dxa"/>
            <w:vAlign w:val="center"/>
          </w:tcPr>
          <w:p>
            <w:pPr>
              <w:spacing w:line="300" w:lineRule="exact"/>
              <w:jc w:val="center"/>
              <w:rPr>
                <w:rFonts w:ascii="Times New Roman" w:hAnsi="Times New Roman" w:cs="Times New Roman"/>
                <w:sz w:val="28"/>
                <w:szCs w:val="28"/>
              </w:rPr>
            </w:pPr>
          </w:p>
        </w:tc>
        <w:tc>
          <w:tcPr>
            <w:tcW w:w="1233" w:type="dxa"/>
            <w:vAlign w:val="center"/>
          </w:tcPr>
          <w:p>
            <w:pPr>
              <w:spacing w:line="300" w:lineRule="exact"/>
              <w:jc w:val="left"/>
              <w:rPr>
                <w:rFonts w:ascii="Times New Roman" w:hAnsi="Times New Roman" w:cs="Times New Roman"/>
                <w:sz w:val="28"/>
                <w:szCs w:val="28"/>
              </w:rPr>
            </w:pPr>
          </w:p>
        </w:tc>
        <w:tc>
          <w:tcPr>
            <w:tcW w:w="1148" w:type="dxa"/>
            <w:vAlign w:val="center"/>
          </w:tcPr>
          <w:p>
            <w:pPr>
              <w:spacing w:line="300" w:lineRule="exact"/>
              <w:jc w:val="left"/>
              <w:rPr>
                <w:rFonts w:ascii="Times New Roman" w:hAnsi="Times New Roman" w:cs="Times New Roman"/>
                <w:sz w:val="28"/>
                <w:szCs w:val="28"/>
              </w:rPr>
            </w:pPr>
          </w:p>
        </w:tc>
        <w:tc>
          <w:tcPr>
            <w:tcW w:w="1912" w:type="dxa"/>
            <w:vAlign w:val="center"/>
          </w:tcPr>
          <w:p>
            <w:pPr>
              <w:spacing w:line="300" w:lineRule="exact"/>
              <w:jc w:val="center"/>
              <w:rPr>
                <w:rFonts w:ascii="Times New Roman" w:hAnsi="Times New Roman" w:cs="Times New Roman"/>
                <w:sz w:val="28"/>
                <w:szCs w:val="28"/>
              </w:rPr>
            </w:pPr>
          </w:p>
        </w:tc>
        <w:tc>
          <w:tcPr>
            <w:tcW w:w="1755" w:type="dxa"/>
            <w:vAlign w:val="center"/>
          </w:tcPr>
          <w:p>
            <w:pPr>
              <w:spacing w:line="300" w:lineRule="exact"/>
              <w:jc w:val="center"/>
              <w:rPr>
                <w:rFonts w:ascii="Times New Roman" w:hAnsi="Times New Roman" w:cs="Times New Roman"/>
                <w:sz w:val="28"/>
                <w:szCs w:val="28"/>
              </w:rPr>
            </w:pPr>
          </w:p>
        </w:tc>
        <w:tc>
          <w:tcPr>
            <w:tcW w:w="2490" w:type="dxa"/>
            <w:vAlign w:val="center"/>
          </w:tcPr>
          <w:p>
            <w:pPr>
              <w:spacing w:line="30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5" w:type="dxa"/>
            <w:vAlign w:val="center"/>
          </w:tcPr>
          <w:p>
            <w:pPr>
              <w:spacing w:line="300" w:lineRule="exact"/>
              <w:jc w:val="center"/>
              <w:rPr>
                <w:rFonts w:ascii="Times New Roman" w:hAnsi="Times New Roman" w:cs="Times New Roman"/>
                <w:sz w:val="28"/>
                <w:szCs w:val="28"/>
              </w:rPr>
            </w:pPr>
          </w:p>
        </w:tc>
        <w:tc>
          <w:tcPr>
            <w:tcW w:w="1003" w:type="dxa"/>
            <w:vAlign w:val="center"/>
          </w:tcPr>
          <w:p>
            <w:pPr>
              <w:spacing w:line="300" w:lineRule="exact"/>
              <w:jc w:val="center"/>
              <w:rPr>
                <w:rFonts w:ascii="Times New Roman" w:hAnsi="Times New Roman" w:cs="Times New Roman"/>
                <w:sz w:val="28"/>
                <w:szCs w:val="28"/>
              </w:rPr>
            </w:pPr>
          </w:p>
        </w:tc>
        <w:tc>
          <w:tcPr>
            <w:tcW w:w="1424" w:type="dxa"/>
            <w:vAlign w:val="center"/>
          </w:tcPr>
          <w:p>
            <w:pPr>
              <w:spacing w:line="300" w:lineRule="exact"/>
              <w:jc w:val="center"/>
              <w:rPr>
                <w:rFonts w:ascii="Times New Roman" w:hAnsi="Times New Roman" w:cs="Times New Roman"/>
                <w:sz w:val="28"/>
                <w:szCs w:val="28"/>
              </w:rPr>
            </w:pPr>
          </w:p>
        </w:tc>
        <w:tc>
          <w:tcPr>
            <w:tcW w:w="1233" w:type="dxa"/>
            <w:vAlign w:val="center"/>
          </w:tcPr>
          <w:p>
            <w:pPr>
              <w:spacing w:line="300" w:lineRule="exact"/>
              <w:jc w:val="left"/>
              <w:rPr>
                <w:rFonts w:ascii="Times New Roman" w:hAnsi="Times New Roman" w:cs="Times New Roman"/>
                <w:sz w:val="28"/>
                <w:szCs w:val="28"/>
              </w:rPr>
            </w:pPr>
          </w:p>
        </w:tc>
        <w:tc>
          <w:tcPr>
            <w:tcW w:w="1148" w:type="dxa"/>
            <w:vAlign w:val="center"/>
          </w:tcPr>
          <w:p>
            <w:pPr>
              <w:spacing w:line="300" w:lineRule="exact"/>
              <w:jc w:val="left"/>
              <w:rPr>
                <w:rFonts w:ascii="Times New Roman" w:hAnsi="Times New Roman" w:cs="Times New Roman"/>
                <w:sz w:val="28"/>
                <w:szCs w:val="28"/>
              </w:rPr>
            </w:pPr>
          </w:p>
        </w:tc>
        <w:tc>
          <w:tcPr>
            <w:tcW w:w="1912" w:type="dxa"/>
            <w:vAlign w:val="center"/>
          </w:tcPr>
          <w:p>
            <w:pPr>
              <w:spacing w:line="300" w:lineRule="exact"/>
              <w:jc w:val="center"/>
              <w:rPr>
                <w:rFonts w:ascii="Times New Roman" w:hAnsi="Times New Roman" w:cs="Times New Roman"/>
                <w:sz w:val="28"/>
                <w:szCs w:val="28"/>
              </w:rPr>
            </w:pPr>
          </w:p>
        </w:tc>
        <w:tc>
          <w:tcPr>
            <w:tcW w:w="1755" w:type="dxa"/>
            <w:vAlign w:val="center"/>
          </w:tcPr>
          <w:p>
            <w:pPr>
              <w:spacing w:line="300" w:lineRule="exact"/>
              <w:jc w:val="center"/>
              <w:rPr>
                <w:rFonts w:ascii="Times New Roman" w:hAnsi="Times New Roman" w:cs="Times New Roman"/>
                <w:sz w:val="28"/>
                <w:szCs w:val="28"/>
              </w:rPr>
            </w:pPr>
          </w:p>
        </w:tc>
        <w:tc>
          <w:tcPr>
            <w:tcW w:w="2490" w:type="dxa"/>
            <w:vAlign w:val="center"/>
          </w:tcPr>
          <w:p>
            <w:pPr>
              <w:spacing w:line="30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5" w:type="dxa"/>
            <w:vAlign w:val="center"/>
          </w:tcPr>
          <w:p>
            <w:pPr>
              <w:spacing w:line="300" w:lineRule="exact"/>
              <w:jc w:val="center"/>
              <w:rPr>
                <w:rFonts w:ascii="Times New Roman" w:hAnsi="Times New Roman" w:cs="Times New Roman"/>
                <w:sz w:val="28"/>
                <w:szCs w:val="28"/>
              </w:rPr>
            </w:pPr>
          </w:p>
        </w:tc>
        <w:tc>
          <w:tcPr>
            <w:tcW w:w="1003" w:type="dxa"/>
            <w:vAlign w:val="center"/>
          </w:tcPr>
          <w:p>
            <w:pPr>
              <w:spacing w:line="300" w:lineRule="exact"/>
              <w:jc w:val="center"/>
              <w:rPr>
                <w:rFonts w:ascii="Times New Roman" w:hAnsi="Times New Roman" w:cs="Times New Roman"/>
                <w:sz w:val="28"/>
                <w:szCs w:val="28"/>
              </w:rPr>
            </w:pPr>
          </w:p>
        </w:tc>
        <w:tc>
          <w:tcPr>
            <w:tcW w:w="1424" w:type="dxa"/>
            <w:vAlign w:val="center"/>
          </w:tcPr>
          <w:p>
            <w:pPr>
              <w:spacing w:line="300" w:lineRule="exact"/>
              <w:jc w:val="center"/>
              <w:rPr>
                <w:rFonts w:ascii="Times New Roman" w:hAnsi="Times New Roman" w:cs="Times New Roman"/>
                <w:sz w:val="28"/>
                <w:szCs w:val="28"/>
              </w:rPr>
            </w:pPr>
          </w:p>
        </w:tc>
        <w:tc>
          <w:tcPr>
            <w:tcW w:w="1233" w:type="dxa"/>
            <w:vAlign w:val="center"/>
          </w:tcPr>
          <w:p>
            <w:pPr>
              <w:spacing w:line="300" w:lineRule="exact"/>
              <w:jc w:val="left"/>
              <w:rPr>
                <w:rFonts w:ascii="Times New Roman" w:hAnsi="Times New Roman" w:cs="Times New Roman"/>
                <w:sz w:val="28"/>
                <w:szCs w:val="28"/>
              </w:rPr>
            </w:pPr>
          </w:p>
        </w:tc>
        <w:tc>
          <w:tcPr>
            <w:tcW w:w="1148" w:type="dxa"/>
            <w:vAlign w:val="center"/>
          </w:tcPr>
          <w:p>
            <w:pPr>
              <w:spacing w:line="300" w:lineRule="exact"/>
              <w:jc w:val="left"/>
              <w:rPr>
                <w:rFonts w:ascii="Times New Roman" w:hAnsi="Times New Roman" w:cs="Times New Roman"/>
                <w:sz w:val="28"/>
                <w:szCs w:val="28"/>
              </w:rPr>
            </w:pPr>
          </w:p>
        </w:tc>
        <w:tc>
          <w:tcPr>
            <w:tcW w:w="1912" w:type="dxa"/>
            <w:vAlign w:val="center"/>
          </w:tcPr>
          <w:p>
            <w:pPr>
              <w:spacing w:line="300" w:lineRule="exact"/>
              <w:jc w:val="center"/>
              <w:rPr>
                <w:rFonts w:ascii="Times New Roman" w:hAnsi="Times New Roman" w:cs="Times New Roman"/>
                <w:sz w:val="28"/>
                <w:szCs w:val="28"/>
              </w:rPr>
            </w:pPr>
          </w:p>
        </w:tc>
        <w:tc>
          <w:tcPr>
            <w:tcW w:w="1755" w:type="dxa"/>
            <w:vAlign w:val="center"/>
          </w:tcPr>
          <w:p>
            <w:pPr>
              <w:spacing w:line="300" w:lineRule="exact"/>
              <w:jc w:val="center"/>
              <w:rPr>
                <w:rFonts w:ascii="Times New Roman" w:hAnsi="Times New Roman" w:cs="Times New Roman"/>
                <w:sz w:val="28"/>
                <w:szCs w:val="28"/>
              </w:rPr>
            </w:pPr>
          </w:p>
        </w:tc>
        <w:tc>
          <w:tcPr>
            <w:tcW w:w="2490" w:type="dxa"/>
            <w:vAlign w:val="center"/>
          </w:tcPr>
          <w:p>
            <w:pPr>
              <w:spacing w:line="30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5" w:type="dxa"/>
            <w:vAlign w:val="center"/>
          </w:tcPr>
          <w:p>
            <w:pPr>
              <w:spacing w:line="300" w:lineRule="exact"/>
              <w:jc w:val="center"/>
              <w:rPr>
                <w:rFonts w:ascii="Times New Roman" w:hAnsi="Times New Roman" w:cs="Times New Roman"/>
                <w:sz w:val="28"/>
                <w:szCs w:val="28"/>
              </w:rPr>
            </w:pPr>
          </w:p>
        </w:tc>
        <w:tc>
          <w:tcPr>
            <w:tcW w:w="1003" w:type="dxa"/>
            <w:vAlign w:val="center"/>
          </w:tcPr>
          <w:p>
            <w:pPr>
              <w:spacing w:line="300" w:lineRule="exact"/>
              <w:jc w:val="center"/>
              <w:rPr>
                <w:rFonts w:ascii="Times New Roman" w:hAnsi="Times New Roman" w:cs="Times New Roman"/>
                <w:sz w:val="28"/>
                <w:szCs w:val="28"/>
              </w:rPr>
            </w:pPr>
          </w:p>
        </w:tc>
        <w:tc>
          <w:tcPr>
            <w:tcW w:w="1424" w:type="dxa"/>
            <w:vAlign w:val="center"/>
          </w:tcPr>
          <w:p>
            <w:pPr>
              <w:spacing w:line="300" w:lineRule="exact"/>
              <w:jc w:val="center"/>
              <w:rPr>
                <w:rFonts w:ascii="Times New Roman" w:hAnsi="Times New Roman" w:cs="Times New Roman"/>
                <w:sz w:val="28"/>
                <w:szCs w:val="28"/>
              </w:rPr>
            </w:pPr>
          </w:p>
        </w:tc>
        <w:tc>
          <w:tcPr>
            <w:tcW w:w="1233" w:type="dxa"/>
            <w:vAlign w:val="center"/>
          </w:tcPr>
          <w:p>
            <w:pPr>
              <w:spacing w:line="300" w:lineRule="exact"/>
              <w:jc w:val="left"/>
              <w:rPr>
                <w:rFonts w:ascii="Times New Roman" w:hAnsi="Times New Roman" w:cs="Times New Roman"/>
                <w:sz w:val="28"/>
                <w:szCs w:val="28"/>
              </w:rPr>
            </w:pPr>
          </w:p>
        </w:tc>
        <w:tc>
          <w:tcPr>
            <w:tcW w:w="1148" w:type="dxa"/>
            <w:vAlign w:val="center"/>
          </w:tcPr>
          <w:p>
            <w:pPr>
              <w:spacing w:line="300" w:lineRule="exact"/>
              <w:jc w:val="left"/>
              <w:rPr>
                <w:rFonts w:ascii="Times New Roman" w:hAnsi="Times New Roman" w:cs="Times New Roman"/>
                <w:sz w:val="28"/>
                <w:szCs w:val="28"/>
              </w:rPr>
            </w:pPr>
          </w:p>
        </w:tc>
        <w:tc>
          <w:tcPr>
            <w:tcW w:w="1912" w:type="dxa"/>
            <w:vAlign w:val="center"/>
          </w:tcPr>
          <w:p>
            <w:pPr>
              <w:spacing w:line="300" w:lineRule="exact"/>
              <w:jc w:val="center"/>
              <w:rPr>
                <w:rFonts w:ascii="Times New Roman" w:hAnsi="Times New Roman" w:cs="Times New Roman"/>
                <w:sz w:val="28"/>
                <w:szCs w:val="28"/>
              </w:rPr>
            </w:pPr>
          </w:p>
        </w:tc>
        <w:tc>
          <w:tcPr>
            <w:tcW w:w="1755" w:type="dxa"/>
            <w:vAlign w:val="center"/>
          </w:tcPr>
          <w:p>
            <w:pPr>
              <w:spacing w:line="300" w:lineRule="exact"/>
              <w:jc w:val="center"/>
              <w:rPr>
                <w:rFonts w:ascii="Times New Roman" w:hAnsi="Times New Roman" w:cs="Times New Roman"/>
                <w:sz w:val="28"/>
                <w:szCs w:val="28"/>
              </w:rPr>
            </w:pPr>
          </w:p>
        </w:tc>
        <w:tc>
          <w:tcPr>
            <w:tcW w:w="2490" w:type="dxa"/>
            <w:vAlign w:val="center"/>
          </w:tcPr>
          <w:p>
            <w:pPr>
              <w:spacing w:line="30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5" w:type="dxa"/>
            <w:vAlign w:val="center"/>
          </w:tcPr>
          <w:p>
            <w:pPr>
              <w:spacing w:line="300" w:lineRule="exact"/>
              <w:jc w:val="center"/>
              <w:rPr>
                <w:rFonts w:ascii="Times New Roman" w:hAnsi="Times New Roman" w:cs="Times New Roman"/>
                <w:sz w:val="28"/>
                <w:szCs w:val="28"/>
              </w:rPr>
            </w:pPr>
          </w:p>
        </w:tc>
        <w:tc>
          <w:tcPr>
            <w:tcW w:w="1003" w:type="dxa"/>
            <w:vAlign w:val="center"/>
          </w:tcPr>
          <w:p>
            <w:pPr>
              <w:spacing w:line="300" w:lineRule="exact"/>
              <w:jc w:val="center"/>
              <w:rPr>
                <w:rFonts w:ascii="Times New Roman" w:hAnsi="Times New Roman" w:cs="Times New Roman"/>
                <w:sz w:val="28"/>
                <w:szCs w:val="28"/>
              </w:rPr>
            </w:pPr>
          </w:p>
        </w:tc>
        <w:tc>
          <w:tcPr>
            <w:tcW w:w="1424" w:type="dxa"/>
            <w:vAlign w:val="center"/>
          </w:tcPr>
          <w:p>
            <w:pPr>
              <w:spacing w:line="300" w:lineRule="exact"/>
              <w:jc w:val="center"/>
              <w:rPr>
                <w:rFonts w:ascii="Times New Roman" w:hAnsi="Times New Roman" w:cs="Times New Roman"/>
                <w:sz w:val="28"/>
                <w:szCs w:val="28"/>
              </w:rPr>
            </w:pPr>
          </w:p>
        </w:tc>
        <w:tc>
          <w:tcPr>
            <w:tcW w:w="1233" w:type="dxa"/>
            <w:vAlign w:val="center"/>
          </w:tcPr>
          <w:p>
            <w:pPr>
              <w:spacing w:line="300" w:lineRule="exact"/>
              <w:jc w:val="left"/>
              <w:rPr>
                <w:rFonts w:ascii="Times New Roman" w:hAnsi="Times New Roman" w:cs="Times New Roman"/>
                <w:sz w:val="28"/>
                <w:szCs w:val="28"/>
              </w:rPr>
            </w:pPr>
          </w:p>
        </w:tc>
        <w:tc>
          <w:tcPr>
            <w:tcW w:w="1148" w:type="dxa"/>
            <w:vAlign w:val="center"/>
          </w:tcPr>
          <w:p>
            <w:pPr>
              <w:spacing w:line="300" w:lineRule="exact"/>
              <w:jc w:val="left"/>
              <w:rPr>
                <w:rFonts w:ascii="Times New Roman" w:hAnsi="Times New Roman" w:cs="Times New Roman"/>
                <w:sz w:val="28"/>
                <w:szCs w:val="28"/>
              </w:rPr>
            </w:pPr>
          </w:p>
        </w:tc>
        <w:tc>
          <w:tcPr>
            <w:tcW w:w="1912" w:type="dxa"/>
            <w:vAlign w:val="center"/>
          </w:tcPr>
          <w:p>
            <w:pPr>
              <w:spacing w:line="300" w:lineRule="exact"/>
              <w:jc w:val="center"/>
              <w:rPr>
                <w:rFonts w:ascii="Times New Roman" w:hAnsi="Times New Roman" w:cs="Times New Roman"/>
                <w:sz w:val="28"/>
                <w:szCs w:val="28"/>
              </w:rPr>
            </w:pPr>
          </w:p>
        </w:tc>
        <w:tc>
          <w:tcPr>
            <w:tcW w:w="1755" w:type="dxa"/>
            <w:vAlign w:val="center"/>
          </w:tcPr>
          <w:p>
            <w:pPr>
              <w:spacing w:line="300" w:lineRule="exact"/>
              <w:jc w:val="center"/>
              <w:rPr>
                <w:rFonts w:ascii="Times New Roman" w:hAnsi="Times New Roman" w:cs="Times New Roman"/>
                <w:sz w:val="28"/>
                <w:szCs w:val="28"/>
              </w:rPr>
            </w:pPr>
          </w:p>
        </w:tc>
        <w:tc>
          <w:tcPr>
            <w:tcW w:w="2490" w:type="dxa"/>
            <w:vAlign w:val="center"/>
          </w:tcPr>
          <w:p>
            <w:pPr>
              <w:spacing w:line="300" w:lineRule="exact"/>
              <w:jc w:val="center"/>
              <w:rPr>
                <w:rFonts w:ascii="Times New Roman" w:hAnsi="Times New Roman" w:cs="Times New Roman"/>
                <w:sz w:val="28"/>
                <w:szCs w:val="28"/>
              </w:rPr>
            </w:pPr>
          </w:p>
        </w:tc>
      </w:tr>
    </w:tbl>
    <w:p>
      <w:pPr>
        <w:widowControl/>
        <w:ind w:firstLine="640" w:firstLineChars="200"/>
        <w:jc w:val="left"/>
        <w:rPr>
          <w:rFonts w:ascii="Times New Roman" w:hAnsi="Times New Roman" w:eastAsia="仿宋" w:cs="Times New Roman"/>
          <w:kern w:val="0"/>
          <w:sz w:val="32"/>
          <w:szCs w:val="32"/>
        </w:rPr>
      </w:pPr>
      <w:r>
        <w:rPr>
          <w:rFonts w:hint="eastAsia" w:ascii="方正仿宋简体" w:hAnsi="Tahoma" w:eastAsia="方正仿宋简体" w:cs="Times New Roman"/>
          <w:kern w:val="0"/>
          <w:sz w:val="32"/>
          <w:szCs w:val="32"/>
        </w:rPr>
        <w:t>全区共签署承诺书</w:t>
      </w:r>
      <w:r>
        <w:rPr>
          <w:rFonts w:hint="eastAsia" w:ascii="方正仿宋简体" w:hAnsi="Tahoma" w:eastAsia="方正仿宋简体" w:cs="Times New Roman"/>
          <w:kern w:val="0"/>
          <w:sz w:val="32"/>
          <w:szCs w:val="32"/>
          <w:u w:val="single"/>
        </w:rPr>
        <w:t xml:space="preserve">    </w:t>
      </w:r>
      <w:r>
        <w:rPr>
          <w:rFonts w:hint="eastAsia" w:ascii="方正仿宋简体" w:hAnsi="Tahoma" w:eastAsia="方正仿宋简体" w:cs="Times New Roman"/>
          <w:kern w:val="0"/>
          <w:sz w:val="32"/>
          <w:szCs w:val="32"/>
        </w:rPr>
        <w:t>份；</w:t>
      </w:r>
      <w:r>
        <w:rPr>
          <w:rFonts w:hint="eastAsia" w:ascii="Times New Roman" w:hAnsi="Times New Roman" w:eastAsia="仿宋" w:cs="Times New Roman"/>
          <w:kern w:val="0"/>
          <w:sz w:val="32"/>
          <w:szCs w:val="32"/>
        </w:rPr>
        <w:t>主体责任落实确认书共</w:t>
      </w:r>
      <w:r>
        <w:rPr>
          <w:rFonts w:hint="eastAsia" w:ascii="方正仿宋简体" w:hAnsi="Tahoma" w:eastAsia="方正仿宋简体" w:cs="Times New Roman"/>
          <w:kern w:val="0"/>
          <w:sz w:val="32"/>
          <w:szCs w:val="32"/>
          <w:u w:val="single"/>
        </w:rPr>
        <w:t xml:space="preserve">     </w:t>
      </w:r>
      <w:r>
        <w:rPr>
          <w:rFonts w:hint="eastAsia" w:ascii="Times New Roman" w:hAnsi="Times New Roman" w:eastAsia="仿宋" w:cs="Times New Roman"/>
          <w:kern w:val="0"/>
          <w:sz w:val="32"/>
          <w:szCs w:val="32"/>
        </w:rPr>
        <w:t>份，其中：企业法定代表人</w:t>
      </w:r>
      <w:r>
        <w:rPr>
          <w:rFonts w:hint="eastAsia" w:ascii="方正仿宋简体" w:hAnsi="Tahoma" w:eastAsia="方正仿宋简体" w:cs="Times New Roman"/>
          <w:kern w:val="0"/>
          <w:sz w:val="32"/>
          <w:szCs w:val="32"/>
          <w:u w:val="single"/>
        </w:rPr>
        <w:t xml:space="preserve">    </w:t>
      </w:r>
      <w:r>
        <w:rPr>
          <w:rFonts w:hint="eastAsia" w:ascii="Times New Roman" w:hAnsi="Times New Roman" w:eastAsia="仿宋" w:cs="Times New Roman"/>
          <w:kern w:val="0"/>
          <w:sz w:val="32"/>
          <w:szCs w:val="32"/>
        </w:rPr>
        <w:t>份、安全管理负责人</w:t>
      </w:r>
      <w:r>
        <w:rPr>
          <w:rFonts w:hint="eastAsia" w:ascii="方正仿宋简体" w:hAnsi="Tahoma" w:eastAsia="方正仿宋简体" w:cs="Times New Roman"/>
          <w:kern w:val="0"/>
          <w:sz w:val="32"/>
          <w:szCs w:val="32"/>
          <w:u w:val="single"/>
        </w:rPr>
        <w:t xml:space="preserve">   </w:t>
      </w:r>
      <w:r>
        <w:rPr>
          <w:rFonts w:hint="eastAsia" w:ascii="Times New Roman" w:hAnsi="Times New Roman" w:eastAsia="仿宋" w:cs="Times New Roman"/>
          <w:kern w:val="0"/>
          <w:sz w:val="32"/>
          <w:szCs w:val="32"/>
        </w:rPr>
        <w:t xml:space="preserve">份、安全管理人员 </w:t>
      </w:r>
      <w:r>
        <w:rPr>
          <w:rFonts w:hint="eastAsia" w:ascii="方正仿宋简体" w:hAnsi="Tahoma" w:eastAsia="方正仿宋简体" w:cs="Times New Roman"/>
          <w:kern w:val="0"/>
          <w:sz w:val="32"/>
          <w:szCs w:val="32"/>
          <w:u w:val="single"/>
        </w:rPr>
        <w:t xml:space="preserve">    </w:t>
      </w:r>
      <w:r>
        <w:rPr>
          <w:rFonts w:hint="eastAsia" w:ascii="Times New Roman" w:hAnsi="Times New Roman" w:eastAsia="仿宋" w:cs="Times New Roman"/>
          <w:kern w:val="0"/>
          <w:sz w:val="32"/>
          <w:szCs w:val="32"/>
        </w:rPr>
        <w:t xml:space="preserve">份、特种设备作业人员 </w:t>
      </w:r>
      <w:r>
        <w:rPr>
          <w:rFonts w:hint="eastAsia" w:ascii="方正仿宋简体" w:hAnsi="Tahoma" w:eastAsia="方正仿宋简体" w:cs="Times New Roman"/>
          <w:kern w:val="0"/>
          <w:sz w:val="32"/>
          <w:szCs w:val="32"/>
          <w:u w:val="single"/>
        </w:rPr>
        <w:t xml:space="preserve">    </w:t>
      </w:r>
      <w:r>
        <w:rPr>
          <w:rFonts w:hint="eastAsia" w:ascii="Times New Roman" w:hAnsi="Times New Roman" w:eastAsia="仿宋" w:cs="Times New Roman"/>
          <w:kern w:val="0"/>
          <w:sz w:val="32"/>
          <w:szCs w:val="32"/>
        </w:rPr>
        <w:t>份。</w:t>
      </w:r>
    </w:p>
    <w:p>
      <w:pPr>
        <w:widowControl w:val="0"/>
        <w:ind w:firstLine="560" w:firstLineChars="200"/>
        <w:jc w:val="both"/>
        <w:rPr>
          <w:rFonts w:ascii="Times New Roman" w:hAnsi="Times New Roman" w:cs="Times New Roman"/>
          <w:sz w:val="28"/>
          <w:szCs w:val="28"/>
        </w:rPr>
      </w:pPr>
      <w:r>
        <w:rPr>
          <w:rFonts w:hint="eastAsia"/>
          <w:sz w:val="28"/>
          <w:szCs w:val="28"/>
        </w:rPr>
        <w:t>注：每日16:00前报市局承压处邮箱：</w:t>
      </w:r>
      <w:r>
        <w:rPr>
          <w:rStyle w:val="9"/>
          <w:rFonts w:ascii="Times New Roman" w:hAnsi="Times New Roman" w:cs="Times New Roman"/>
          <w:color w:val="auto"/>
          <w:sz w:val="28"/>
          <w:szCs w:val="28"/>
          <w:u w:val="none"/>
        </w:rPr>
        <w:t>chengyachu@163.com。</w:t>
      </w:r>
    </w:p>
    <w:p>
      <w:pPr>
        <w:widowControl w:val="0"/>
        <w:ind w:firstLine="420" w:firstLineChars="200"/>
        <w:jc w:val="both"/>
      </w:pPr>
      <w:r>
        <w:br w:type="page"/>
      </w:r>
    </w:p>
    <w:p>
      <w:pPr>
        <w:widowControl w:val="0"/>
        <w:shd w:val="clear" w:color="auto" w:fill="auto"/>
        <w:spacing w:line="240" w:lineRule="auto"/>
        <w:jc w:val="both"/>
        <w:rPr>
          <w:rFonts w:ascii="黑体" w:hAnsi="黑体" w:eastAsia="黑体" w:cs="宋体"/>
          <w:kern w:val="0"/>
          <w:sz w:val="32"/>
          <w:szCs w:val="32"/>
        </w:rPr>
      </w:pPr>
      <w:r>
        <w:rPr>
          <w:rFonts w:hint="eastAsia" w:ascii="黑体" w:hAnsi="黑体" w:eastAsia="黑体" w:cs="宋体"/>
          <w:kern w:val="0"/>
          <w:sz w:val="32"/>
          <w:szCs w:val="32"/>
        </w:rPr>
        <w:t>附件8</w:t>
      </w:r>
    </w:p>
    <w:p>
      <w:pPr>
        <w:widowControl/>
        <w:shd w:val="clear" w:color="auto" w:fill="FFFFFF"/>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特种设备安全隐患专项整治情况汇总表</w:t>
      </w:r>
    </w:p>
    <w:p>
      <w:pPr>
        <w:widowControl/>
        <w:shd w:val="clear" w:color="auto" w:fill="FFFFFF"/>
        <w:spacing w:before="240" w:line="560" w:lineRule="exact"/>
        <w:jc w:val="left"/>
        <w:rPr>
          <w:rFonts w:ascii="仿宋_GB2312" w:hAnsi="宋体" w:eastAsia="仿宋_GB2312" w:cs="宋体"/>
          <w:kern w:val="0"/>
          <w:sz w:val="24"/>
        </w:rPr>
      </w:pPr>
      <w:r>
        <w:rPr>
          <w:rFonts w:hint="eastAsia" w:ascii="仿宋_GB2312" w:hAnsi="宋体" w:eastAsia="仿宋_GB2312" w:cs="宋体"/>
          <w:kern w:val="0"/>
          <w:sz w:val="24"/>
        </w:rPr>
        <w:t>填报单位：（盖章）</w:t>
      </w:r>
    </w:p>
    <w:tbl>
      <w:tblPr>
        <w:tblStyle w:val="7"/>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936"/>
        <w:gridCol w:w="936"/>
        <w:gridCol w:w="936"/>
        <w:gridCol w:w="940"/>
        <w:gridCol w:w="592"/>
        <w:gridCol w:w="593"/>
        <w:gridCol w:w="592"/>
        <w:gridCol w:w="594"/>
        <w:gridCol w:w="849"/>
        <w:gridCol w:w="849"/>
        <w:gridCol w:w="849"/>
        <w:gridCol w:w="849"/>
        <w:gridCol w:w="774"/>
        <w:gridCol w:w="810"/>
        <w:gridCol w:w="78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77" w:type="dxa"/>
            <w:vMerge w:val="restart"/>
            <w:vAlign w:val="center"/>
          </w:tcPr>
          <w:p>
            <w:pPr>
              <w:widowControl/>
              <w:spacing w:line="300" w:lineRule="exact"/>
              <w:jc w:val="center"/>
              <w:rPr>
                <w:rFonts w:ascii="仿宋_GB2312" w:hAnsi="宋体" w:eastAsia="仿宋_GB2312" w:cs="宋体"/>
                <w:b/>
                <w:kern w:val="0"/>
                <w:szCs w:val="21"/>
              </w:rPr>
            </w:pPr>
            <w:r>
              <w:rPr>
                <w:rFonts w:hint="eastAsia" w:ascii="仿宋_GB2312" w:hAnsi="宋体" w:eastAsia="仿宋_GB2312" w:cs="宋体"/>
                <w:b/>
                <w:kern w:val="0"/>
                <w:szCs w:val="21"/>
              </w:rPr>
              <w:t>设备种类</w:t>
            </w:r>
          </w:p>
        </w:tc>
        <w:tc>
          <w:tcPr>
            <w:tcW w:w="4684" w:type="dxa"/>
            <w:gridSpan w:val="5"/>
            <w:vAlign w:val="center"/>
          </w:tcPr>
          <w:p>
            <w:pPr>
              <w:jc w:val="center"/>
              <w:rPr>
                <w:rFonts w:eastAsia="仿宋_GB2312"/>
              </w:rPr>
            </w:pPr>
            <w:r>
              <w:rPr>
                <w:rFonts w:hint="eastAsia" w:ascii="仿宋_GB2312" w:hAnsi="宋体" w:eastAsia="仿宋_GB2312" w:cs="宋体"/>
                <w:b/>
                <w:kern w:val="0"/>
                <w:szCs w:val="21"/>
              </w:rPr>
              <w:t>使用单位“四确认”情况</w:t>
            </w:r>
          </w:p>
        </w:tc>
        <w:tc>
          <w:tcPr>
            <w:tcW w:w="8884" w:type="dxa"/>
            <w:gridSpan w:val="12"/>
            <w:vAlign w:val="center"/>
          </w:tcPr>
          <w:p>
            <w:pPr>
              <w:jc w:val="center"/>
            </w:pPr>
            <w:r>
              <w:rPr>
                <w:rFonts w:hint="eastAsia" w:ascii="仿宋_GB2312" w:hAnsi="宋体" w:eastAsia="仿宋_GB2312" w:cs="宋体"/>
                <w:b/>
                <w:kern w:val="0"/>
                <w:szCs w:val="21"/>
              </w:rPr>
              <w:t>监察机构检查情况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7" w:type="dxa"/>
            <w:vMerge w:val="continue"/>
          </w:tcPr>
          <w:p/>
        </w:tc>
        <w:tc>
          <w:tcPr>
            <w:tcW w:w="936"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法人代表职责确认书（份）</w:t>
            </w:r>
          </w:p>
        </w:tc>
        <w:tc>
          <w:tcPr>
            <w:tcW w:w="936"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安全管理负责人职责 确认书（份）</w:t>
            </w:r>
          </w:p>
        </w:tc>
        <w:tc>
          <w:tcPr>
            <w:tcW w:w="936"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安全管理人员职责确认书（份）</w:t>
            </w:r>
          </w:p>
        </w:tc>
        <w:tc>
          <w:tcPr>
            <w:tcW w:w="936"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作业人员职责确认书（份）</w:t>
            </w:r>
          </w:p>
        </w:tc>
        <w:tc>
          <w:tcPr>
            <w:tcW w:w="940"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企业安全承诺书</w:t>
            </w:r>
          </w:p>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（份）</w:t>
            </w:r>
          </w:p>
        </w:tc>
        <w:tc>
          <w:tcPr>
            <w:tcW w:w="1185" w:type="dxa"/>
            <w:gridSpan w:val="2"/>
            <w:vAlign w:val="center"/>
          </w:tcPr>
          <w:p>
            <w:pPr>
              <w:widowControl/>
              <w:spacing w:line="300" w:lineRule="exact"/>
              <w:jc w:val="center"/>
              <w:rPr>
                <w:bCs/>
              </w:rPr>
            </w:pPr>
            <w:r>
              <w:rPr>
                <w:rFonts w:hint="eastAsia" w:ascii="仿宋_GB2312" w:hAnsi="宋体" w:eastAsia="仿宋_GB2312" w:cs="宋体"/>
                <w:bCs/>
                <w:kern w:val="0"/>
                <w:szCs w:val="21"/>
              </w:rPr>
              <w:t>检查单位情况（家）</w:t>
            </w:r>
          </w:p>
        </w:tc>
        <w:tc>
          <w:tcPr>
            <w:tcW w:w="1185" w:type="dxa"/>
            <w:gridSpan w:val="2"/>
            <w:vAlign w:val="center"/>
          </w:tcPr>
          <w:p>
            <w:pPr>
              <w:widowControl/>
              <w:spacing w:line="300" w:lineRule="exact"/>
              <w:jc w:val="center"/>
              <w:rPr>
                <w:bCs/>
              </w:rPr>
            </w:pPr>
            <w:r>
              <w:rPr>
                <w:rFonts w:hint="eastAsia" w:ascii="仿宋_GB2312" w:hAnsi="宋体" w:eastAsia="仿宋_GB2312" w:cs="宋体"/>
                <w:bCs/>
                <w:kern w:val="0"/>
                <w:szCs w:val="21"/>
              </w:rPr>
              <w:t>检查设备情况（台）</w:t>
            </w:r>
          </w:p>
        </w:tc>
        <w:tc>
          <w:tcPr>
            <w:tcW w:w="849" w:type="dxa"/>
            <w:vMerge w:val="restart"/>
            <w:vAlign w:val="center"/>
          </w:tcPr>
          <w:p>
            <w:pPr>
              <w:widowControl/>
              <w:spacing w:line="300" w:lineRule="exact"/>
              <w:jc w:val="center"/>
              <w:rPr>
                <w:bCs/>
              </w:rPr>
            </w:pPr>
            <w:r>
              <w:rPr>
                <w:rFonts w:hint="eastAsia" w:ascii="仿宋_GB2312" w:hAnsi="宋体" w:eastAsia="仿宋_GB2312" w:cs="宋体"/>
                <w:bCs/>
                <w:kern w:val="0"/>
                <w:szCs w:val="21"/>
              </w:rPr>
              <w:t>检查作业人员总数（人）</w:t>
            </w:r>
          </w:p>
        </w:tc>
        <w:tc>
          <w:tcPr>
            <w:tcW w:w="849"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发现</w:t>
            </w:r>
          </w:p>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隐患</w:t>
            </w:r>
          </w:p>
          <w:p>
            <w:pPr>
              <w:pStyle w:val="2"/>
              <w:widowControl w:val="0"/>
              <w:spacing w:line="300" w:lineRule="exact"/>
              <w:jc w:val="center"/>
              <w:rPr>
                <w:rFonts w:ascii="仿宋_GB2312" w:hAnsi="宋体" w:eastAsia="仿宋_GB2312" w:cs="宋体"/>
                <w:bCs/>
                <w:sz w:val="21"/>
                <w:szCs w:val="21"/>
              </w:rPr>
            </w:pPr>
            <w:r>
              <w:rPr>
                <w:rFonts w:hint="eastAsia" w:ascii="仿宋_GB2312" w:hAnsi="宋体" w:eastAsia="仿宋_GB2312" w:cs="宋体"/>
                <w:bCs/>
                <w:sz w:val="21"/>
                <w:szCs w:val="21"/>
              </w:rPr>
              <w:t>总数</w:t>
            </w:r>
          </w:p>
          <w:p>
            <w:pPr>
              <w:widowControl/>
              <w:spacing w:line="300" w:lineRule="exact"/>
              <w:jc w:val="center"/>
              <w:rPr>
                <w:bCs/>
              </w:rPr>
            </w:pPr>
            <w:r>
              <w:rPr>
                <w:rFonts w:hint="eastAsia" w:ascii="仿宋_GB2312" w:hAnsi="宋体" w:eastAsia="仿宋_GB2312" w:cs="宋体"/>
                <w:bCs/>
                <w:kern w:val="0"/>
                <w:szCs w:val="21"/>
              </w:rPr>
              <w:t>（个）</w:t>
            </w:r>
          </w:p>
        </w:tc>
        <w:tc>
          <w:tcPr>
            <w:tcW w:w="849" w:type="dxa"/>
            <w:vMerge w:val="restart"/>
            <w:vAlign w:val="center"/>
          </w:tcPr>
          <w:p>
            <w:pPr>
              <w:widowControl/>
              <w:spacing w:line="300" w:lineRule="exact"/>
              <w:jc w:val="center"/>
              <w:rPr>
                <w:bCs/>
              </w:rPr>
            </w:pPr>
            <w:r>
              <w:rPr>
                <w:rFonts w:hint="eastAsia" w:ascii="仿宋_GB2312" w:hAnsi="宋体" w:eastAsia="仿宋_GB2312" w:cs="宋体"/>
                <w:bCs/>
                <w:kern w:val="0"/>
                <w:szCs w:val="21"/>
              </w:rPr>
              <w:t>其中严重事故隐患（个）</w:t>
            </w:r>
          </w:p>
        </w:tc>
        <w:tc>
          <w:tcPr>
            <w:tcW w:w="849"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下达监察指令书</w:t>
            </w:r>
          </w:p>
          <w:p>
            <w:pPr>
              <w:widowControl/>
              <w:spacing w:line="300" w:lineRule="exact"/>
              <w:jc w:val="center"/>
              <w:rPr>
                <w:bCs/>
              </w:rPr>
            </w:pPr>
            <w:r>
              <w:rPr>
                <w:rFonts w:hint="eastAsia" w:ascii="仿宋_GB2312" w:hAnsi="宋体" w:eastAsia="仿宋_GB2312" w:cs="宋体"/>
                <w:bCs/>
                <w:kern w:val="0"/>
                <w:szCs w:val="21"/>
              </w:rPr>
              <w:t>（份）</w:t>
            </w:r>
          </w:p>
        </w:tc>
        <w:tc>
          <w:tcPr>
            <w:tcW w:w="774"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行政</w:t>
            </w:r>
          </w:p>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处罚</w:t>
            </w:r>
          </w:p>
          <w:p>
            <w:pPr>
              <w:widowControl/>
              <w:spacing w:line="300" w:lineRule="exact"/>
              <w:jc w:val="center"/>
              <w:rPr>
                <w:bCs/>
              </w:rPr>
            </w:pPr>
            <w:r>
              <w:rPr>
                <w:rFonts w:hint="eastAsia" w:ascii="仿宋_GB2312" w:hAnsi="宋体" w:eastAsia="仿宋_GB2312" w:cs="宋体"/>
                <w:bCs/>
                <w:kern w:val="0"/>
                <w:szCs w:val="21"/>
              </w:rPr>
              <w:t>（元）</w:t>
            </w:r>
          </w:p>
        </w:tc>
        <w:tc>
          <w:tcPr>
            <w:tcW w:w="810"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查封</w:t>
            </w:r>
          </w:p>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停用</w:t>
            </w:r>
          </w:p>
          <w:p>
            <w:pPr>
              <w:widowControl/>
              <w:spacing w:line="300" w:lineRule="exact"/>
              <w:jc w:val="center"/>
              <w:rPr>
                <w:bCs/>
              </w:rPr>
            </w:pPr>
            <w:r>
              <w:rPr>
                <w:rFonts w:hint="eastAsia" w:ascii="仿宋_GB2312" w:hAnsi="宋体" w:eastAsia="仿宋_GB2312" w:cs="宋体"/>
                <w:bCs/>
                <w:kern w:val="0"/>
                <w:szCs w:val="21"/>
              </w:rPr>
              <w:t>（台）</w:t>
            </w:r>
          </w:p>
        </w:tc>
        <w:tc>
          <w:tcPr>
            <w:tcW w:w="787"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销毁</w:t>
            </w:r>
          </w:p>
          <w:p>
            <w:pPr>
              <w:widowControl/>
              <w:spacing w:line="300" w:lineRule="exact"/>
              <w:jc w:val="center"/>
              <w:rPr>
                <w:bCs/>
              </w:rPr>
            </w:pPr>
            <w:r>
              <w:rPr>
                <w:rFonts w:hint="eastAsia" w:ascii="仿宋_GB2312" w:hAnsi="宋体" w:eastAsia="仿宋_GB2312" w:cs="宋体"/>
                <w:bCs/>
                <w:kern w:val="0"/>
                <w:szCs w:val="21"/>
              </w:rPr>
              <w:t>（台）</w:t>
            </w:r>
          </w:p>
        </w:tc>
        <w:tc>
          <w:tcPr>
            <w:tcW w:w="747" w:type="dxa"/>
            <w:vMerge w:val="restart"/>
            <w:vAlign w:val="center"/>
          </w:tcPr>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关停单位</w:t>
            </w:r>
          </w:p>
          <w:p>
            <w:pPr>
              <w:widowControl/>
              <w:spacing w:line="30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77" w:type="dxa"/>
            <w:vMerge w:val="continue"/>
          </w:tcPr>
          <w:p/>
        </w:tc>
        <w:tc>
          <w:tcPr>
            <w:tcW w:w="936" w:type="dxa"/>
            <w:vMerge w:val="continue"/>
            <w:vAlign w:val="center"/>
          </w:tcPr>
          <w:p>
            <w:pPr>
              <w:widowControl/>
              <w:spacing w:line="300" w:lineRule="exact"/>
              <w:jc w:val="center"/>
              <w:rPr>
                <w:rFonts w:ascii="仿宋_GB2312" w:hAnsi="宋体" w:eastAsia="仿宋_GB2312" w:cs="宋体"/>
                <w:bCs/>
                <w:kern w:val="0"/>
                <w:szCs w:val="21"/>
              </w:rPr>
            </w:pPr>
          </w:p>
        </w:tc>
        <w:tc>
          <w:tcPr>
            <w:tcW w:w="936" w:type="dxa"/>
            <w:vMerge w:val="continue"/>
            <w:vAlign w:val="center"/>
          </w:tcPr>
          <w:p>
            <w:pPr>
              <w:widowControl/>
              <w:spacing w:line="300" w:lineRule="exact"/>
              <w:jc w:val="center"/>
              <w:rPr>
                <w:rFonts w:ascii="仿宋_GB2312" w:hAnsi="宋体" w:eastAsia="仿宋_GB2312" w:cs="宋体"/>
                <w:bCs/>
                <w:kern w:val="0"/>
                <w:szCs w:val="21"/>
              </w:rPr>
            </w:pPr>
          </w:p>
        </w:tc>
        <w:tc>
          <w:tcPr>
            <w:tcW w:w="936" w:type="dxa"/>
            <w:vMerge w:val="continue"/>
            <w:vAlign w:val="center"/>
          </w:tcPr>
          <w:p>
            <w:pPr>
              <w:widowControl/>
              <w:spacing w:line="300" w:lineRule="exact"/>
              <w:jc w:val="center"/>
              <w:rPr>
                <w:rFonts w:ascii="仿宋_GB2312" w:hAnsi="宋体" w:eastAsia="仿宋_GB2312" w:cs="宋体"/>
                <w:bCs/>
                <w:kern w:val="0"/>
                <w:szCs w:val="21"/>
              </w:rPr>
            </w:pPr>
          </w:p>
        </w:tc>
        <w:tc>
          <w:tcPr>
            <w:tcW w:w="936" w:type="dxa"/>
            <w:vMerge w:val="continue"/>
            <w:vAlign w:val="center"/>
          </w:tcPr>
          <w:p>
            <w:pPr>
              <w:widowControl/>
              <w:spacing w:line="300" w:lineRule="exact"/>
              <w:jc w:val="center"/>
              <w:rPr>
                <w:rFonts w:ascii="仿宋_GB2312" w:hAnsi="宋体" w:eastAsia="仿宋_GB2312" w:cs="宋体"/>
                <w:bCs/>
                <w:kern w:val="0"/>
                <w:szCs w:val="21"/>
              </w:rPr>
            </w:pPr>
          </w:p>
        </w:tc>
        <w:tc>
          <w:tcPr>
            <w:tcW w:w="940" w:type="dxa"/>
            <w:vMerge w:val="continue"/>
            <w:vAlign w:val="center"/>
          </w:tcPr>
          <w:p>
            <w:pPr>
              <w:widowControl/>
              <w:spacing w:line="300" w:lineRule="exact"/>
              <w:jc w:val="center"/>
              <w:rPr>
                <w:rFonts w:ascii="仿宋_GB2312" w:hAnsi="宋体" w:eastAsia="仿宋_GB2312" w:cs="宋体"/>
                <w:bCs/>
                <w:kern w:val="0"/>
                <w:szCs w:val="21"/>
              </w:rPr>
            </w:pPr>
          </w:p>
        </w:tc>
        <w:tc>
          <w:tcPr>
            <w:tcW w:w="592" w:type="dxa"/>
            <w:vAlign w:val="center"/>
          </w:tcPr>
          <w:p>
            <w:pPr>
              <w:widowControl/>
              <w:spacing w:line="26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总数</w:t>
            </w:r>
          </w:p>
        </w:tc>
        <w:tc>
          <w:tcPr>
            <w:tcW w:w="592" w:type="dxa"/>
            <w:vAlign w:val="center"/>
          </w:tcPr>
          <w:p>
            <w:pPr>
              <w:widowControl/>
              <w:spacing w:line="26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已检查</w:t>
            </w:r>
          </w:p>
        </w:tc>
        <w:tc>
          <w:tcPr>
            <w:tcW w:w="592" w:type="dxa"/>
            <w:vAlign w:val="center"/>
          </w:tcPr>
          <w:p>
            <w:pPr>
              <w:widowControl/>
              <w:spacing w:line="26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总数</w:t>
            </w:r>
          </w:p>
        </w:tc>
        <w:tc>
          <w:tcPr>
            <w:tcW w:w="594" w:type="dxa"/>
            <w:vAlign w:val="center"/>
          </w:tcPr>
          <w:p>
            <w:pPr>
              <w:widowControl/>
              <w:spacing w:line="260" w:lineRule="exact"/>
              <w:jc w:val="center"/>
              <w:rPr>
                <w:rFonts w:ascii="仿宋_GB2312" w:hAnsi="宋体" w:eastAsia="仿宋_GB2312" w:cs="宋体"/>
                <w:bCs/>
                <w:kern w:val="0"/>
                <w:szCs w:val="21"/>
              </w:rPr>
            </w:pPr>
            <w:r>
              <w:rPr>
                <w:rFonts w:hint="eastAsia" w:ascii="仿宋_GB2312" w:hAnsi="宋体" w:eastAsia="仿宋_GB2312" w:cs="宋体"/>
                <w:bCs/>
                <w:kern w:val="0"/>
                <w:szCs w:val="21"/>
              </w:rPr>
              <w:t>已检查</w:t>
            </w:r>
          </w:p>
        </w:tc>
        <w:tc>
          <w:tcPr>
            <w:tcW w:w="849" w:type="dxa"/>
            <w:vMerge w:val="continue"/>
            <w:vAlign w:val="center"/>
          </w:tcPr>
          <w:p>
            <w:pPr>
              <w:widowControl/>
              <w:spacing w:line="300" w:lineRule="exact"/>
              <w:jc w:val="center"/>
              <w:rPr>
                <w:rFonts w:ascii="仿宋_GB2312" w:hAnsi="宋体" w:eastAsia="仿宋_GB2312" w:cs="宋体"/>
                <w:bCs/>
                <w:kern w:val="0"/>
                <w:szCs w:val="21"/>
              </w:rPr>
            </w:pPr>
          </w:p>
        </w:tc>
        <w:tc>
          <w:tcPr>
            <w:tcW w:w="849" w:type="dxa"/>
            <w:vMerge w:val="continue"/>
            <w:vAlign w:val="center"/>
          </w:tcPr>
          <w:p>
            <w:pPr>
              <w:widowControl/>
              <w:spacing w:line="300" w:lineRule="exact"/>
              <w:jc w:val="center"/>
              <w:rPr>
                <w:rFonts w:ascii="仿宋_GB2312" w:hAnsi="宋体" w:eastAsia="仿宋_GB2312" w:cs="宋体"/>
                <w:bCs/>
                <w:kern w:val="0"/>
                <w:szCs w:val="21"/>
              </w:rPr>
            </w:pPr>
          </w:p>
        </w:tc>
        <w:tc>
          <w:tcPr>
            <w:tcW w:w="849" w:type="dxa"/>
            <w:vMerge w:val="continue"/>
            <w:vAlign w:val="center"/>
          </w:tcPr>
          <w:p>
            <w:pPr>
              <w:widowControl/>
              <w:spacing w:line="300" w:lineRule="exact"/>
              <w:jc w:val="center"/>
              <w:rPr>
                <w:rFonts w:ascii="仿宋_GB2312" w:hAnsi="宋体" w:eastAsia="仿宋_GB2312" w:cs="宋体"/>
                <w:bCs/>
                <w:kern w:val="0"/>
                <w:szCs w:val="21"/>
              </w:rPr>
            </w:pPr>
          </w:p>
        </w:tc>
        <w:tc>
          <w:tcPr>
            <w:tcW w:w="849" w:type="dxa"/>
            <w:vMerge w:val="continue"/>
            <w:vAlign w:val="center"/>
          </w:tcPr>
          <w:p>
            <w:pPr>
              <w:widowControl/>
              <w:spacing w:line="300" w:lineRule="exact"/>
              <w:jc w:val="center"/>
              <w:rPr>
                <w:rFonts w:ascii="仿宋_GB2312" w:hAnsi="宋体" w:eastAsia="仿宋_GB2312" w:cs="宋体"/>
                <w:bCs/>
                <w:kern w:val="0"/>
                <w:szCs w:val="21"/>
              </w:rPr>
            </w:pPr>
          </w:p>
        </w:tc>
        <w:tc>
          <w:tcPr>
            <w:tcW w:w="774" w:type="dxa"/>
            <w:vMerge w:val="continue"/>
            <w:vAlign w:val="center"/>
          </w:tcPr>
          <w:p>
            <w:pPr>
              <w:widowControl/>
              <w:spacing w:line="300" w:lineRule="exact"/>
              <w:jc w:val="center"/>
              <w:rPr>
                <w:rFonts w:ascii="仿宋_GB2312" w:hAnsi="宋体" w:eastAsia="仿宋_GB2312" w:cs="宋体"/>
                <w:bCs/>
                <w:kern w:val="0"/>
                <w:szCs w:val="21"/>
              </w:rPr>
            </w:pPr>
          </w:p>
        </w:tc>
        <w:tc>
          <w:tcPr>
            <w:tcW w:w="810" w:type="dxa"/>
            <w:vMerge w:val="continue"/>
            <w:vAlign w:val="center"/>
          </w:tcPr>
          <w:p>
            <w:pPr>
              <w:widowControl/>
              <w:spacing w:line="300" w:lineRule="exact"/>
              <w:jc w:val="center"/>
              <w:rPr>
                <w:rFonts w:ascii="仿宋_GB2312" w:hAnsi="宋体" w:eastAsia="仿宋_GB2312" w:cs="宋体"/>
                <w:bCs/>
                <w:kern w:val="0"/>
                <w:szCs w:val="21"/>
              </w:rPr>
            </w:pPr>
          </w:p>
        </w:tc>
        <w:tc>
          <w:tcPr>
            <w:tcW w:w="787" w:type="dxa"/>
            <w:vMerge w:val="continue"/>
            <w:vAlign w:val="center"/>
          </w:tcPr>
          <w:p>
            <w:pPr>
              <w:widowControl/>
              <w:spacing w:line="300" w:lineRule="exact"/>
              <w:jc w:val="center"/>
              <w:rPr>
                <w:rFonts w:ascii="仿宋_GB2312" w:hAnsi="宋体" w:eastAsia="仿宋_GB2312" w:cs="宋体"/>
                <w:bCs/>
                <w:kern w:val="0"/>
                <w:szCs w:val="21"/>
              </w:rPr>
            </w:pPr>
          </w:p>
        </w:tc>
        <w:tc>
          <w:tcPr>
            <w:tcW w:w="747" w:type="dxa"/>
            <w:vMerge w:val="continue"/>
            <w:vAlign w:val="center"/>
          </w:tcPr>
          <w:p>
            <w:pPr>
              <w:widowControl/>
              <w:spacing w:line="300" w:lineRule="exact"/>
              <w:jc w:val="center"/>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hAnsi="宋体" w:eastAsia="仿宋_GB2312" w:cs="宋体"/>
                <w:kern w:val="0"/>
                <w:szCs w:val="21"/>
              </w:rPr>
            </w:pPr>
            <w:r>
              <w:rPr>
                <w:rFonts w:hint="eastAsia" w:ascii="仿宋_GB2312" w:eastAsia="仿宋_GB2312"/>
                <w:kern w:val="0"/>
                <w:szCs w:val="21"/>
              </w:rPr>
              <w:t>锅炉</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hAnsi="宋体" w:eastAsia="仿宋_GB2312" w:cs="宋体"/>
                <w:kern w:val="0"/>
                <w:szCs w:val="21"/>
              </w:rPr>
            </w:pPr>
            <w:r>
              <w:rPr>
                <w:rFonts w:hint="eastAsia" w:ascii="仿宋_GB2312" w:eastAsia="仿宋_GB2312"/>
                <w:kern w:val="0"/>
                <w:szCs w:val="21"/>
              </w:rPr>
              <w:t>压力容器</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hAnsi="宋体" w:eastAsia="仿宋_GB2312" w:cs="宋体"/>
                <w:kern w:val="0"/>
                <w:szCs w:val="21"/>
              </w:rPr>
            </w:pPr>
            <w:r>
              <w:rPr>
                <w:rFonts w:hint="eastAsia" w:ascii="仿宋_GB2312" w:eastAsia="仿宋_GB2312"/>
                <w:kern w:val="0"/>
                <w:szCs w:val="21"/>
              </w:rPr>
              <w:t>压力管道</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hAnsi="宋体" w:eastAsia="仿宋_GB2312" w:cs="宋体"/>
                <w:kern w:val="0"/>
                <w:szCs w:val="21"/>
              </w:rPr>
            </w:pPr>
            <w:r>
              <w:rPr>
                <w:rFonts w:hint="eastAsia" w:ascii="仿宋_GB2312" w:eastAsia="仿宋_GB2312"/>
                <w:kern w:val="0"/>
                <w:szCs w:val="21"/>
              </w:rPr>
              <w:t>电梯</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起重机械</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客运索道</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大型游乐设施</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场（厂）内专用机动车辆</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合</w:t>
            </w:r>
            <w:r>
              <w:rPr>
                <w:rFonts w:hint="eastAsia" w:ascii="仿宋_GB2312" w:eastAsia="仿宋_GB2312"/>
                <w:kern w:val="0"/>
                <w:szCs w:val="21"/>
              </w:rPr>
              <w:t>　</w:t>
            </w:r>
            <w:r>
              <w:rPr>
                <w:rFonts w:hint="eastAsia" w:ascii="仿宋_GB2312" w:hAnsi="宋体" w:eastAsia="仿宋_GB2312" w:cs="宋体"/>
                <w:kern w:val="0"/>
                <w:szCs w:val="21"/>
              </w:rPr>
              <w:t>计</w:t>
            </w:r>
          </w:p>
        </w:tc>
        <w:tc>
          <w:tcPr>
            <w:tcW w:w="936" w:type="dxa"/>
          </w:tcPr>
          <w:p/>
        </w:tc>
        <w:tc>
          <w:tcPr>
            <w:tcW w:w="936" w:type="dxa"/>
          </w:tcPr>
          <w:p/>
        </w:tc>
        <w:tc>
          <w:tcPr>
            <w:tcW w:w="936" w:type="dxa"/>
          </w:tcPr>
          <w:p/>
        </w:tc>
        <w:tc>
          <w:tcPr>
            <w:tcW w:w="936" w:type="dxa"/>
          </w:tcPr>
          <w:p/>
        </w:tc>
        <w:tc>
          <w:tcPr>
            <w:tcW w:w="940" w:type="dxa"/>
          </w:tcPr>
          <w:p/>
        </w:tc>
        <w:tc>
          <w:tcPr>
            <w:tcW w:w="592" w:type="dxa"/>
          </w:tcPr>
          <w:p/>
        </w:tc>
        <w:tc>
          <w:tcPr>
            <w:tcW w:w="592" w:type="dxa"/>
          </w:tcPr>
          <w:p/>
        </w:tc>
        <w:tc>
          <w:tcPr>
            <w:tcW w:w="592" w:type="dxa"/>
          </w:tcPr>
          <w:p/>
        </w:tc>
        <w:tc>
          <w:tcPr>
            <w:tcW w:w="594" w:type="dxa"/>
          </w:tcPr>
          <w:p/>
        </w:tc>
        <w:tc>
          <w:tcPr>
            <w:tcW w:w="849" w:type="dxa"/>
          </w:tcPr>
          <w:p/>
        </w:tc>
        <w:tc>
          <w:tcPr>
            <w:tcW w:w="849" w:type="dxa"/>
          </w:tcPr>
          <w:p/>
        </w:tc>
        <w:tc>
          <w:tcPr>
            <w:tcW w:w="849" w:type="dxa"/>
          </w:tcPr>
          <w:p/>
        </w:tc>
        <w:tc>
          <w:tcPr>
            <w:tcW w:w="849" w:type="dxa"/>
          </w:tcPr>
          <w:p/>
        </w:tc>
        <w:tc>
          <w:tcPr>
            <w:tcW w:w="774" w:type="dxa"/>
          </w:tcPr>
          <w:p/>
        </w:tc>
        <w:tc>
          <w:tcPr>
            <w:tcW w:w="810" w:type="dxa"/>
          </w:tcPr>
          <w:p/>
        </w:tc>
        <w:tc>
          <w:tcPr>
            <w:tcW w:w="787" w:type="dxa"/>
          </w:tcPr>
          <w:p/>
        </w:tc>
        <w:tc>
          <w:tcPr>
            <w:tcW w:w="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5" w:type="dxa"/>
            <w:gridSpan w:val="18"/>
          </w:tcPr>
          <w:p>
            <w:r>
              <w:rPr>
                <w:rFonts w:hint="eastAsia" w:ascii="仿宋_GB2312" w:hAnsi="宋体" w:eastAsia="仿宋_GB2312" w:cs="宋体"/>
                <w:kern w:val="0"/>
                <w:sz w:val="24"/>
              </w:rPr>
              <w:t>安全监察机构出动检查人员　　　</w:t>
            </w:r>
            <w:r>
              <w:rPr>
                <w:rFonts w:ascii="仿宋_GB2312" w:hAnsi="宋体" w:eastAsia="仿宋_GB2312" w:cs="宋体"/>
                <w:kern w:val="0"/>
                <w:sz w:val="24"/>
              </w:rPr>
              <w:t> </w:t>
            </w:r>
            <w:r>
              <w:rPr>
                <w:rFonts w:hint="eastAsia" w:ascii="仿宋_GB2312" w:hAnsi="宋体" w:eastAsia="仿宋_GB2312" w:cs="宋体"/>
                <w:kern w:val="0"/>
                <w:sz w:val="24"/>
              </w:rPr>
              <w:t>人次。</w:t>
            </w:r>
          </w:p>
        </w:tc>
      </w:tr>
    </w:tbl>
    <w:p>
      <w:pPr>
        <w:shd w:val="clear" w:color="auto" w:fill="FFFFFF"/>
        <w:spacing w:before="0" w:line="280" w:lineRule="exact"/>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统计使用单位“四确认”单位总数、检查单位总数时，每一类设备对应的单位总数与合计对应的单位总数不存在求和关系，需独立统计。</w:t>
      </w:r>
      <w:r>
        <w:rPr>
          <w:rFonts w:ascii="仿宋_GB2312" w:hAnsi="宋体" w:eastAsia="仿宋_GB2312" w:cs="宋体"/>
          <w:kern w:val="0"/>
          <w:szCs w:val="21"/>
        </w:rPr>
        <w:t>2.</w:t>
      </w:r>
      <w:r>
        <w:rPr>
          <w:rFonts w:hint="eastAsia" w:ascii="仿宋_GB2312" w:hAnsi="宋体" w:eastAsia="仿宋_GB2312" w:cs="宋体"/>
          <w:kern w:val="0"/>
          <w:szCs w:val="21"/>
        </w:rPr>
        <w:t>压力管道统计单位为米；</w:t>
      </w:r>
    </w:p>
    <w:sectPr>
      <w:pgSz w:w="16838" w:h="11906" w:orient="landscape"/>
      <w:pgMar w:top="1531" w:right="1440" w:bottom="1474"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218BDC-2445-4F02-A360-9B3730B07B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C8AD23-921A-4A39-8FF1-2DA645959D3C}"/>
  </w:font>
  <w:font w:name="方正仿宋简体">
    <w:panose1 w:val="02000000000000000000"/>
    <w:charset w:val="86"/>
    <w:family w:val="auto"/>
    <w:pitch w:val="default"/>
    <w:sig w:usb0="A00002BF" w:usb1="184F6CFA" w:usb2="00000012" w:usb3="00000000" w:csb0="00040001" w:csb1="00000000"/>
    <w:embedRegular r:id="rId3" w:fontKey="{8E681515-082E-4361-A22D-3E7E32B70C5D}"/>
  </w:font>
  <w:font w:name="Tahoma">
    <w:panose1 w:val="020B0604030504040204"/>
    <w:charset w:val="00"/>
    <w:family w:val="swiss"/>
    <w:pitch w:val="default"/>
    <w:sig w:usb0="E1002EFF" w:usb1="C000605B" w:usb2="00000029" w:usb3="00000000" w:csb0="200101FF" w:csb1="20280000"/>
    <w:embedRegular r:id="rId4" w:fontKey="{17990C9A-0C52-4EFF-B1E4-009A8C5FFE8F}"/>
  </w:font>
  <w:font w:name="方正小标宋简体">
    <w:panose1 w:val="02000000000000000000"/>
    <w:charset w:val="86"/>
    <w:family w:val="auto"/>
    <w:pitch w:val="default"/>
    <w:sig w:usb0="00000001" w:usb1="08000000" w:usb2="00000000" w:usb3="00000000" w:csb0="00040000" w:csb1="00000000"/>
    <w:embedRegular r:id="rId5" w:fontKey="{0C97311F-97C6-493C-9BA0-578A2FD0DDE7}"/>
  </w:font>
  <w:font w:name="仿宋">
    <w:panose1 w:val="02010609060101010101"/>
    <w:charset w:val="86"/>
    <w:family w:val="modern"/>
    <w:pitch w:val="default"/>
    <w:sig w:usb0="800002BF" w:usb1="38CF7CFA" w:usb2="00000016" w:usb3="00000000" w:csb0="00040001" w:csb1="00000000"/>
    <w:embedRegular r:id="rId6" w:fontKey="{BFDA1BC8-E896-4A5C-B8EC-033C1E83400A}"/>
  </w:font>
  <w:font w:name="楷体">
    <w:panose1 w:val="02010609060101010101"/>
    <w:charset w:val="86"/>
    <w:family w:val="modern"/>
    <w:pitch w:val="default"/>
    <w:sig w:usb0="800002BF" w:usb1="38CF7CFA" w:usb2="00000016" w:usb3="00000000" w:csb0="00040001" w:csb1="00000000"/>
    <w:embedRegular r:id="rId7" w:fontKey="{7BE93745-BFD9-4DFA-B16A-F772FF3EBF74}"/>
  </w:font>
  <w:font w:name="楷体_GB2312">
    <w:panose1 w:val="02010609030101010101"/>
    <w:charset w:val="86"/>
    <w:family w:val="modern"/>
    <w:pitch w:val="default"/>
    <w:sig w:usb0="00000001" w:usb1="080E0000" w:usb2="00000000" w:usb3="00000000" w:csb0="00040000" w:csb1="00000000"/>
    <w:embedRegular r:id="rId8" w:fontKey="{AF87B2A8-C711-4ACF-B385-C32A3DBDCD9F}"/>
  </w:font>
  <w:font w:name="仿宋_GB2312">
    <w:panose1 w:val="02010609030101010101"/>
    <w:charset w:val="86"/>
    <w:family w:val="modern"/>
    <w:pitch w:val="default"/>
    <w:sig w:usb0="00000001" w:usb1="080E0000" w:usb2="00000000" w:usb3="00000000" w:csb0="00040000" w:csb1="00000000"/>
    <w:embedRegular r:id="rId9" w:fontKey="{EB98D96A-084A-4145-A098-FFC9809A6C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59"/>
    <w:rsid w:val="000C6E7A"/>
    <w:rsid w:val="000F4BAC"/>
    <w:rsid w:val="00134089"/>
    <w:rsid w:val="001610FD"/>
    <w:rsid w:val="00162578"/>
    <w:rsid w:val="001A4AB1"/>
    <w:rsid w:val="0022490E"/>
    <w:rsid w:val="00236533"/>
    <w:rsid w:val="00265E30"/>
    <w:rsid w:val="00284322"/>
    <w:rsid w:val="00293DAA"/>
    <w:rsid w:val="002A2BE4"/>
    <w:rsid w:val="0035101E"/>
    <w:rsid w:val="00352FDD"/>
    <w:rsid w:val="003E643D"/>
    <w:rsid w:val="00436A01"/>
    <w:rsid w:val="004E33C7"/>
    <w:rsid w:val="00522385"/>
    <w:rsid w:val="005346CB"/>
    <w:rsid w:val="005525AD"/>
    <w:rsid w:val="0057185D"/>
    <w:rsid w:val="00595501"/>
    <w:rsid w:val="005B41A0"/>
    <w:rsid w:val="006F1259"/>
    <w:rsid w:val="00727A9F"/>
    <w:rsid w:val="0073067D"/>
    <w:rsid w:val="00807072"/>
    <w:rsid w:val="0083225A"/>
    <w:rsid w:val="00847FE9"/>
    <w:rsid w:val="008A2320"/>
    <w:rsid w:val="008F136D"/>
    <w:rsid w:val="009525A7"/>
    <w:rsid w:val="009557C1"/>
    <w:rsid w:val="00973853"/>
    <w:rsid w:val="009C3A7F"/>
    <w:rsid w:val="00A202DB"/>
    <w:rsid w:val="00A54D1A"/>
    <w:rsid w:val="00AF666B"/>
    <w:rsid w:val="00B11585"/>
    <w:rsid w:val="00B91989"/>
    <w:rsid w:val="00BD2D81"/>
    <w:rsid w:val="00C64B8C"/>
    <w:rsid w:val="00CF524E"/>
    <w:rsid w:val="00D06D02"/>
    <w:rsid w:val="00D21632"/>
    <w:rsid w:val="00D51669"/>
    <w:rsid w:val="00D659B7"/>
    <w:rsid w:val="00D81F1A"/>
    <w:rsid w:val="00DD2E6D"/>
    <w:rsid w:val="00E11217"/>
    <w:rsid w:val="00E21C62"/>
    <w:rsid w:val="00E72F42"/>
    <w:rsid w:val="00EC6BEE"/>
    <w:rsid w:val="00ED6129"/>
    <w:rsid w:val="00F35B89"/>
    <w:rsid w:val="00F6552F"/>
    <w:rsid w:val="00F86A19"/>
    <w:rsid w:val="00F93865"/>
    <w:rsid w:val="00F94749"/>
    <w:rsid w:val="06434C6D"/>
    <w:rsid w:val="09906FD1"/>
    <w:rsid w:val="22D95DE8"/>
    <w:rsid w:val="24302C44"/>
    <w:rsid w:val="2CC6363B"/>
    <w:rsid w:val="33D24F35"/>
    <w:rsid w:val="37810FA1"/>
    <w:rsid w:val="381E626E"/>
    <w:rsid w:val="55CC31A1"/>
    <w:rsid w:val="569D536B"/>
    <w:rsid w:val="5D372FD0"/>
    <w:rsid w:val="5ECF0F2A"/>
    <w:rsid w:val="658D321C"/>
    <w:rsid w:val="66F42CCB"/>
    <w:rsid w:val="67FB799C"/>
    <w:rsid w:val="75C86018"/>
    <w:rsid w:val="793837C5"/>
    <w:rsid w:val="7D466390"/>
    <w:rsid w:val="7E49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无间隔1"/>
    <w:next w:val="1"/>
    <w:qFormat/>
    <w:uiPriority w:val="0"/>
    <w:rPr>
      <w:rFonts w:ascii="方正仿宋简体" w:hAnsi="Tahoma" w:eastAsia="方正仿宋简体" w:cs="Times New Roman"/>
      <w:sz w:val="32"/>
      <w:szCs w:val="32"/>
      <w:lang w:val="en-US" w:eastAsia="zh-CN" w:bidi="ar-SA"/>
    </w:rPr>
  </w:style>
  <w:style w:type="paragraph" w:styleId="3">
    <w:name w:val="Balloon Text"/>
    <w:basedOn w:val="1"/>
    <w:link w:val="13"/>
    <w:semiHidden/>
    <w:unhideWhenUsed/>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批注框文本 字符"/>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45547-A8D4-46D0-8F72-416263BCD05E}">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1662</Words>
  <Characters>9475</Characters>
  <Lines>78</Lines>
  <Paragraphs>22</Paragraphs>
  <TotalTime>56</TotalTime>
  <ScaleCrop>false</ScaleCrop>
  <LinksUpToDate>false</LinksUpToDate>
  <CharactersWithSpaces>11115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2021-10-22T11:23:00Z</dcterms:created>
  <dc:creator>许兴东</dc:creator>
  <cp:lastModifiedBy>我是大冰啊</cp:lastModifiedBy>
  <dcterms:modified xsi:type="dcterms:W3CDTF">2021-10-23T13:03:25Z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06AB8589C180406684D5E7F0A6F7D029</vt:lpwstr>
  </property>
</Properties>
</file>